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0C41F" w14:textId="77777777" w:rsidR="001D4B6F" w:rsidRPr="001D4B6F" w:rsidRDefault="001D4B6F" w:rsidP="001D4B6F">
      <w:pPr>
        <w:spacing w:before="272" w:after="0" w:line="240" w:lineRule="auto"/>
        <w:ind w:right="4625"/>
        <w:jc w:val="right"/>
        <w:rPr>
          <w:rFonts w:ascii="Times New Roman" w:eastAsia="Times New Roman" w:hAnsi="Times New Roman" w:cs="Times New Roman"/>
          <w:sz w:val="24"/>
          <w:szCs w:val="24"/>
        </w:rPr>
      </w:pPr>
      <w:r w:rsidRPr="001D4B6F">
        <w:rPr>
          <w:rFonts w:ascii="Arial" w:eastAsia="Times New Roman" w:hAnsi="Arial" w:cs="Arial"/>
          <w:color w:val="000000"/>
          <w:sz w:val="24"/>
          <w:szCs w:val="24"/>
        </w:rPr>
        <w:t>STATE OF MINNESOTA </w:t>
      </w:r>
    </w:p>
    <w:p w14:paraId="0FC0986E" w14:textId="77777777" w:rsidR="001D4B6F" w:rsidRPr="001D4B6F" w:rsidRDefault="001D4B6F" w:rsidP="001D4B6F">
      <w:pPr>
        <w:spacing w:after="0" w:line="240" w:lineRule="auto"/>
        <w:ind w:right="3636"/>
        <w:jc w:val="right"/>
        <w:rPr>
          <w:rFonts w:ascii="Times New Roman" w:eastAsia="Times New Roman" w:hAnsi="Times New Roman" w:cs="Times New Roman"/>
          <w:sz w:val="24"/>
          <w:szCs w:val="24"/>
        </w:rPr>
      </w:pPr>
      <w:r w:rsidRPr="001D4B6F">
        <w:rPr>
          <w:rFonts w:ascii="Arial" w:eastAsia="Times New Roman" w:hAnsi="Arial" w:cs="Arial"/>
          <w:color w:val="000000"/>
          <w:sz w:val="24"/>
          <w:szCs w:val="24"/>
        </w:rPr>
        <w:t>COURT OF ADMINISTRATIVE HEARINGS </w:t>
      </w:r>
    </w:p>
    <w:p w14:paraId="6AA46C28" w14:textId="77777777" w:rsidR="001D4B6F" w:rsidRPr="001D4B6F" w:rsidRDefault="001D4B6F" w:rsidP="001D4B6F">
      <w:pPr>
        <w:spacing w:before="411" w:after="0" w:line="240" w:lineRule="auto"/>
        <w:ind w:left="1479"/>
        <w:rPr>
          <w:rFonts w:ascii="Times New Roman" w:eastAsia="Times New Roman" w:hAnsi="Times New Roman" w:cs="Times New Roman"/>
          <w:sz w:val="24"/>
          <w:szCs w:val="24"/>
        </w:rPr>
      </w:pPr>
      <w:r w:rsidRPr="001D4B6F">
        <w:rPr>
          <w:rFonts w:ascii="Arial" w:eastAsia="Times New Roman" w:hAnsi="Arial" w:cs="Arial"/>
          <w:color w:val="000000"/>
          <w:sz w:val="24"/>
          <w:szCs w:val="24"/>
        </w:rPr>
        <w:t>Dan Fiskum, </w:t>
      </w:r>
    </w:p>
    <w:p w14:paraId="40D61D36" w14:textId="77777777" w:rsidR="001D4B6F" w:rsidRPr="001D4B6F" w:rsidRDefault="001D4B6F" w:rsidP="001D4B6F">
      <w:pPr>
        <w:spacing w:after="0" w:line="240" w:lineRule="auto"/>
        <w:ind w:left="1459"/>
        <w:rPr>
          <w:rFonts w:ascii="Times New Roman" w:eastAsia="Times New Roman" w:hAnsi="Times New Roman" w:cs="Times New Roman"/>
          <w:sz w:val="24"/>
          <w:szCs w:val="24"/>
        </w:rPr>
      </w:pPr>
      <w:r w:rsidRPr="001D4B6F">
        <w:rPr>
          <w:rFonts w:ascii="Arial" w:eastAsia="Times New Roman" w:hAnsi="Arial" w:cs="Arial"/>
          <w:color w:val="000000"/>
          <w:sz w:val="24"/>
          <w:szCs w:val="24"/>
        </w:rPr>
        <w:t>  </w:t>
      </w:r>
    </w:p>
    <w:p w14:paraId="712B82EC" w14:textId="77777777" w:rsidR="001D4B6F" w:rsidRPr="001D4B6F" w:rsidRDefault="001D4B6F" w:rsidP="001D4B6F">
      <w:pPr>
        <w:spacing w:after="0" w:line="240" w:lineRule="auto"/>
        <w:ind w:left="3606"/>
        <w:rPr>
          <w:rFonts w:ascii="Times New Roman" w:eastAsia="Times New Roman" w:hAnsi="Times New Roman" w:cs="Times New Roman"/>
          <w:sz w:val="24"/>
          <w:szCs w:val="24"/>
        </w:rPr>
      </w:pPr>
      <w:r w:rsidRPr="001D4B6F">
        <w:rPr>
          <w:rFonts w:ascii="Arial" w:eastAsia="Times New Roman" w:hAnsi="Arial" w:cs="Arial"/>
          <w:color w:val="000000"/>
          <w:sz w:val="24"/>
          <w:szCs w:val="24"/>
        </w:rPr>
        <w:t>Complainant, </w:t>
      </w:r>
    </w:p>
    <w:p w14:paraId="2D4A7D90" w14:textId="77777777" w:rsidR="001D4B6F" w:rsidRPr="001D4B6F" w:rsidRDefault="001D4B6F" w:rsidP="001D4B6F">
      <w:pPr>
        <w:spacing w:after="0" w:line="240" w:lineRule="auto"/>
        <w:ind w:right="2370"/>
        <w:jc w:val="right"/>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PROBABLE CAUSE  </w:t>
      </w:r>
      <w:r w:rsidRPr="001D4B6F">
        <w:rPr>
          <w:rFonts w:ascii="Arial" w:eastAsia="Times New Roman" w:hAnsi="Arial" w:cs="Arial"/>
          <w:b/>
          <w:bCs/>
          <w:color w:val="000000"/>
          <w:sz w:val="24"/>
          <w:szCs w:val="24"/>
        </w:rPr>
        <w:br/>
      </w:r>
    </w:p>
    <w:p w14:paraId="1DBFD176" w14:textId="77777777" w:rsidR="001D4B6F" w:rsidRPr="001D4B6F" w:rsidRDefault="001D4B6F" w:rsidP="001D4B6F">
      <w:pPr>
        <w:spacing w:after="0" w:line="240" w:lineRule="auto"/>
        <w:rPr>
          <w:rFonts w:ascii="Times New Roman" w:eastAsia="Times New Roman" w:hAnsi="Times New Roman" w:cs="Times New Roman"/>
          <w:sz w:val="24"/>
          <w:szCs w:val="24"/>
        </w:rPr>
      </w:pPr>
      <w:r w:rsidRPr="001D4B6F">
        <w:rPr>
          <w:rFonts w:ascii="Arial" w:eastAsia="Times New Roman" w:hAnsi="Arial" w:cs="Arial"/>
          <w:color w:val="000000"/>
          <w:sz w:val="24"/>
          <w:szCs w:val="24"/>
        </w:rPr>
        <w:t>v. </w:t>
      </w:r>
    </w:p>
    <w:p w14:paraId="62D34EAB" w14:textId="77777777" w:rsidR="001D4B6F" w:rsidRPr="001D4B6F" w:rsidRDefault="001D4B6F" w:rsidP="001D4B6F">
      <w:pPr>
        <w:spacing w:before="272" w:after="0" w:line="240" w:lineRule="auto"/>
        <w:rPr>
          <w:rFonts w:ascii="Times New Roman" w:eastAsia="Times New Roman" w:hAnsi="Times New Roman" w:cs="Times New Roman"/>
          <w:sz w:val="24"/>
          <w:szCs w:val="24"/>
        </w:rPr>
      </w:pPr>
      <w:r w:rsidRPr="001D4B6F">
        <w:rPr>
          <w:rFonts w:ascii="Arial" w:eastAsia="Times New Roman" w:hAnsi="Arial" w:cs="Arial"/>
          <w:color w:val="000000"/>
          <w:sz w:val="24"/>
          <w:szCs w:val="24"/>
        </w:rPr>
        <w:t>Mike Lindell, </w:t>
      </w:r>
    </w:p>
    <w:p w14:paraId="5F7DD5CE" w14:textId="77777777" w:rsidR="001D4B6F" w:rsidRPr="001D4B6F" w:rsidRDefault="001D4B6F" w:rsidP="001D4B6F">
      <w:pPr>
        <w:spacing w:after="0" w:line="240" w:lineRule="auto"/>
        <w:rPr>
          <w:rFonts w:ascii="Times New Roman" w:eastAsia="Times New Roman" w:hAnsi="Times New Roman" w:cs="Times New Roman"/>
          <w:sz w:val="24"/>
          <w:szCs w:val="24"/>
        </w:rPr>
      </w:pPr>
      <w:r w:rsidRPr="001D4B6F">
        <w:rPr>
          <w:rFonts w:ascii="Arial" w:eastAsia="Times New Roman" w:hAnsi="Arial" w:cs="Arial"/>
          <w:color w:val="000000"/>
          <w:sz w:val="24"/>
          <w:szCs w:val="24"/>
        </w:rPr>
        <w:t>  </w:t>
      </w:r>
    </w:p>
    <w:p w14:paraId="798017F3" w14:textId="77777777" w:rsidR="001D4B6F" w:rsidRPr="001D4B6F" w:rsidRDefault="001D4B6F" w:rsidP="001D4B6F">
      <w:pPr>
        <w:spacing w:after="0" w:line="240" w:lineRule="auto"/>
        <w:rPr>
          <w:rFonts w:ascii="Times New Roman" w:eastAsia="Times New Roman" w:hAnsi="Times New Roman" w:cs="Times New Roman"/>
          <w:sz w:val="24"/>
          <w:szCs w:val="24"/>
        </w:rPr>
      </w:pPr>
      <w:r w:rsidRPr="001D4B6F">
        <w:rPr>
          <w:rFonts w:ascii="Arial" w:eastAsia="Times New Roman" w:hAnsi="Arial" w:cs="Arial"/>
          <w:color w:val="000000"/>
          <w:sz w:val="24"/>
          <w:szCs w:val="24"/>
        </w:rPr>
        <w:t>Respondent. </w:t>
      </w:r>
    </w:p>
    <w:p w14:paraId="4223B67F" w14:textId="77777777" w:rsidR="001D4B6F" w:rsidRPr="001D4B6F" w:rsidRDefault="001D4B6F" w:rsidP="001D4B6F">
      <w:pPr>
        <w:spacing w:after="0" w:line="240" w:lineRule="auto"/>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ORDER </w:t>
      </w:r>
      <w:r w:rsidRPr="001D4B6F">
        <w:rPr>
          <w:rFonts w:ascii="Arial" w:eastAsia="Times New Roman" w:hAnsi="Arial" w:cs="Arial"/>
          <w:b/>
          <w:bCs/>
          <w:color w:val="000000"/>
          <w:sz w:val="24"/>
          <w:szCs w:val="24"/>
        </w:rPr>
        <w:br/>
      </w:r>
    </w:p>
    <w:p w14:paraId="6F1CEB4B" w14:textId="77777777" w:rsidR="001D4B6F" w:rsidRPr="001D4B6F" w:rsidRDefault="001D4B6F" w:rsidP="001D4B6F">
      <w:pPr>
        <w:spacing w:before="1338" w:after="0" w:line="240" w:lineRule="auto"/>
        <w:ind w:left="1362" w:right="1215" w:firstLine="715"/>
        <w:rPr>
          <w:rFonts w:ascii="Times New Roman" w:eastAsia="Times New Roman" w:hAnsi="Times New Roman" w:cs="Times New Roman"/>
          <w:sz w:val="24"/>
          <w:szCs w:val="24"/>
        </w:rPr>
      </w:pPr>
      <w:r w:rsidRPr="001D4B6F">
        <w:rPr>
          <w:rFonts w:ascii="Arial" w:eastAsia="Times New Roman" w:hAnsi="Arial" w:cs="Arial"/>
          <w:color w:val="000000"/>
          <w:sz w:val="24"/>
          <w:szCs w:val="24"/>
        </w:rPr>
        <w:t xml:space="preserve">This matter came before Administrative Law Judge Nicholas </w:t>
      </w:r>
      <w:proofErr w:type="spellStart"/>
      <w:r w:rsidRPr="001D4B6F">
        <w:rPr>
          <w:rFonts w:ascii="Arial" w:eastAsia="Times New Roman" w:hAnsi="Arial" w:cs="Arial"/>
          <w:color w:val="000000"/>
          <w:sz w:val="24"/>
          <w:szCs w:val="24"/>
        </w:rPr>
        <w:t>Lienesch</w:t>
      </w:r>
      <w:proofErr w:type="spellEnd"/>
      <w:r w:rsidRPr="001D4B6F">
        <w:rPr>
          <w:rFonts w:ascii="Arial" w:eastAsia="Times New Roman" w:hAnsi="Arial" w:cs="Arial"/>
          <w:color w:val="000000"/>
          <w:sz w:val="24"/>
          <w:szCs w:val="24"/>
        </w:rPr>
        <w:t xml:space="preserve"> for a probable cause hearing held by telephone on Monday, August 3, 2026. The hearing addressed a Fair Campaign Practices Complaint (Complaint) filed by Dan Fiskum (Complainant) under the Fair Campaign Practices Act (Act).</w:t>
      </w:r>
      <w:r w:rsidRPr="001D4B6F">
        <w:rPr>
          <w:rFonts w:ascii="Arial" w:eastAsia="Times New Roman" w:hAnsi="Arial" w:cs="Arial"/>
          <w:color w:val="000000"/>
          <w:sz w:val="16"/>
          <w:szCs w:val="16"/>
          <w:vertAlign w:val="superscript"/>
        </w:rPr>
        <w:t xml:space="preserve">1 </w:t>
      </w:r>
      <w:r w:rsidRPr="001D4B6F">
        <w:rPr>
          <w:rFonts w:ascii="Arial" w:eastAsia="Times New Roman" w:hAnsi="Arial" w:cs="Arial"/>
          <w:color w:val="000000"/>
          <w:sz w:val="24"/>
          <w:szCs w:val="24"/>
        </w:rPr>
        <w:t>The hearing record closed at the conclusion of the hearing. </w:t>
      </w:r>
    </w:p>
    <w:p w14:paraId="437B8F30" w14:textId="77777777" w:rsidR="001D4B6F" w:rsidRPr="001D4B6F" w:rsidRDefault="001D4B6F" w:rsidP="001D4B6F">
      <w:pPr>
        <w:spacing w:before="247" w:after="0" w:line="240" w:lineRule="auto"/>
        <w:ind w:left="1370" w:right="1277" w:firstLine="642"/>
        <w:rPr>
          <w:rFonts w:ascii="Times New Roman" w:eastAsia="Times New Roman" w:hAnsi="Times New Roman" w:cs="Times New Roman"/>
          <w:sz w:val="24"/>
          <w:szCs w:val="24"/>
        </w:rPr>
      </w:pPr>
      <w:r w:rsidRPr="001D4B6F">
        <w:rPr>
          <w:rFonts w:ascii="Arial" w:eastAsia="Times New Roman" w:hAnsi="Arial" w:cs="Arial"/>
          <w:color w:val="000000"/>
          <w:sz w:val="24"/>
          <w:szCs w:val="24"/>
        </w:rPr>
        <w:t>Complainant appeared on his own behalf, without legal counsel. Mike Lindell (Respondent) appeared on his own behalf, without legal counsel. </w:t>
      </w:r>
    </w:p>
    <w:p w14:paraId="7630F07D" w14:textId="77777777" w:rsidR="001D4B6F" w:rsidRPr="001D4B6F" w:rsidRDefault="001D4B6F" w:rsidP="001D4B6F">
      <w:pPr>
        <w:spacing w:before="242" w:after="0" w:line="240" w:lineRule="auto"/>
        <w:ind w:left="1370" w:right="1214" w:firstLine="650"/>
        <w:rPr>
          <w:rFonts w:ascii="Times New Roman" w:eastAsia="Times New Roman" w:hAnsi="Times New Roman" w:cs="Times New Roman"/>
          <w:sz w:val="24"/>
          <w:szCs w:val="24"/>
        </w:rPr>
      </w:pPr>
      <w:r w:rsidRPr="001D4B6F">
        <w:rPr>
          <w:rFonts w:ascii="Arial" w:eastAsia="Times New Roman" w:hAnsi="Arial" w:cs="Arial"/>
          <w:color w:val="000000"/>
          <w:sz w:val="24"/>
          <w:szCs w:val="24"/>
        </w:rPr>
        <w:t xml:space="preserve">Based upon the record and proceedings in this matter, and for the reasons set </w:t>
      </w:r>
      <w:proofErr w:type="gramStart"/>
      <w:r w:rsidRPr="001D4B6F">
        <w:rPr>
          <w:rFonts w:ascii="Arial" w:eastAsia="Times New Roman" w:hAnsi="Arial" w:cs="Arial"/>
          <w:color w:val="000000"/>
          <w:sz w:val="24"/>
          <w:szCs w:val="24"/>
        </w:rPr>
        <w:t>forth  in</w:t>
      </w:r>
      <w:proofErr w:type="gramEnd"/>
      <w:r w:rsidRPr="001D4B6F">
        <w:rPr>
          <w:rFonts w:ascii="Arial" w:eastAsia="Times New Roman" w:hAnsi="Arial" w:cs="Arial"/>
          <w:color w:val="000000"/>
          <w:sz w:val="24"/>
          <w:szCs w:val="24"/>
        </w:rPr>
        <w:t xml:space="preserve"> the attached Memorandum, the Judge makes the following: </w:t>
      </w:r>
    </w:p>
    <w:p w14:paraId="4E86D343" w14:textId="77777777" w:rsidR="001D4B6F" w:rsidRPr="001D4B6F" w:rsidRDefault="001D4B6F" w:rsidP="001D4B6F">
      <w:pPr>
        <w:spacing w:before="242" w:after="0" w:line="240" w:lineRule="auto"/>
        <w:jc w:val="center"/>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ORDER </w:t>
      </w:r>
    </w:p>
    <w:p w14:paraId="256381E4" w14:textId="77777777" w:rsidR="001D4B6F" w:rsidRPr="001D4B6F" w:rsidRDefault="001D4B6F" w:rsidP="001D4B6F">
      <w:pPr>
        <w:spacing w:before="239" w:after="0" w:line="240" w:lineRule="auto"/>
        <w:ind w:left="1371" w:right="1215" w:firstLine="727"/>
        <w:rPr>
          <w:rFonts w:ascii="Times New Roman" w:eastAsia="Times New Roman" w:hAnsi="Times New Roman" w:cs="Times New Roman"/>
          <w:sz w:val="24"/>
          <w:szCs w:val="24"/>
        </w:rPr>
      </w:pPr>
      <w:r w:rsidRPr="001D4B6F">
        <w:rPr>
          <w:rFonts w:ascii="Arial" w:eastAsia="Times New Roman" w:hAnsi="Arial" w:cs="Arial"/>
          <w:color w:val="000000"/>
          <w:sz w:val="24"/>
          <w:szCs w:val="24"/>
        </w:rPr>
        <w:t xml:space="preserve">1. There is probable cause to believe Respondent </w:t>
      </w:r>
      <w:proofErr w:type="gramStart"/>
      <w:r w:rsidRPr="001D4B6F">
        <w:rPr>
          <w:rFonts w:ascii="Arial" w:eastAsia="Times New Roman" w:hAnsi="Arial" w:cs="Arial"/>
          <w:color w:val="000000"/>
          <w:sz w:val="24"/>
          <w:szCs w:val="24"/>
        </w:rPr>
        <w:t>violated  Minn.</w:t>
      </w:r>
      <w:proofErr w:type="gramEnd"/>
      <w:r w:rsidRPr="001D4B6F">
        <w:rPr>
          <w:rFonts w:ascii="Arial" w:eastAsia="Times New Roman" w:hAnsi="Arial" w:cs="Arial"/>
          <w:color w:val="000000"/>
          <w:sz w:val="24"/>
          <w:szCs w:val="24"/>
        </w:rPr>
        <w:t xml:space="preserve"> Stat. § 211B.13 (2026). </w:t>
      </w:r>
    </w:p>
    <w:p w14:paraId="757AC56B" w14:textId="77777777" w:rsidR="001D4B6F" w:rsidRPr="001D4B6F" w:rsidRDefault="001D4B6F" w:rsidP="001D4B6F">
      <w:pPr>
        <w:spacing w:before="250" w:after="0" w:line="240" w:lineRule="auto"/>
        <w:ind w:left="1362" w:right="1215" w:firstLine="718"/>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 xml:space="preserve">2. This matter will be referred to the Chief Administrative Law Judge for assignment to a panel of three administrative law judges, pursuant </w:t>
      </w:r>
      <w:proofErr w:type="gramStart"/>
      <w:r w:rsidRPr="001D4B6F">
        <w:rPr>
          <w:rFonts w:ascii="Arial" w:eastAsia="Times New Roman" w:hAnsi="Arial" w:cs="Arial"/>
          <w:color w:val="000000"/>
          <w:sz w:val="24"/>
          <w:szCs w:val="24"/>
        </w:rPr>
        <w:t>to  Minn.</w:t>
      </w:r>
      <w:proofErr w:type="gramEnd"/>
      <w:r w:rsidRPr="001D4B6F">
        <w:rPr>
          <w:rFonts w:ascii="Arial" w:eastAsia="Times New Roman" w:hAnsi="Arial" w:cs="Arial"/>
          <w:color w:val="000000"/>
          <w:sz w:val="24"/>
          <w:szCs w:val="24"/>
        </w:rPr>
        <w:t xml:space="preserve"> Stat. § 211B.35 (2026). </w:t>
      </w:r>
    </w:p>
    <w:p w14:paraId="01F47F8E" w14:textId="77777777" w:rsidR="001D4B6F" w:rsidRPr="001D4B6F" w:rsidRDefault="001D4B6F" w:rsidP="001D4B6F">
      <w:pPr>
        <w:spacing w:before="244" w:after="0" w:line="240" w:lineRule="auto"/>
        <w:ind w:left="1357" w:right="1216" w:firstLine="725"/>
        <w:rPr>
          <w:rFonts w:ascii="Times New Roman" w:eastAsia="Times New Roman" w:hAnsi="Times New Roman" w:cs="Times New Roman"/>
          <w:sz w:val="24"/>
          <w:szCs w:val="24"/>
        </w:rPr>
      </w:pPr>
      <w:r w:rsidRPr="001D4B6F">
        <w:rPr>
          <w:rFonts w:ascii="Arial" w:eastAsia="Times New Roman" w:hAnsi="Arial" w:cs="Arial"/>
          <w:color w:val="000000"/>
          <w:sz w:val="24"/>
          <w:szCs w:val="24"/>
        </w:rPr>
        <w:lastRenderedPageBreak/>
        <w:t>3. This matter will proceed to an evidentiary hearing. The details, date, and time of the hearing will be ordered separately. </w:t>
      </w:r>
    </w:p>
    <w:p w14:paraId="1BCE0A6F" w14:textId="3ED050E0" w:rsidR="001D4B6F" w:rsidRPr="001D4B6F" w:rsidRDefault="001D4B6F" w:rsidP="001D4B6F">
      <w:pPr>
        <w:spacing w:before="242" w:after="0" w:line="240" w:lineRule="auto"/>
        <w:ind w:left="1373"/>
        <w:rPr>
          <w:rFonts w:ascii="Times New Roman" w:eastAsia="Times New Roman" w:hAnsi="Times New Roman" w:cs="Times New Roman"/>
          <w:sz w:val="24"/>
          <w:szCs w:val="24"/>
        </w:rPr>
      </w:pPr>
      <w:r w:rsidRPr="001D4B6F">
        <w:rPr>
          <w:rFonts w:ascii="Arial" w:eastAsia="Times New Roman" w:hAnsi="Arial" w:cs="Arial"/>
          <w:color w:val="000000"/>
          <w:sz w:val="24"/>
          <w:szCs w:val="24"/>
        </w:rPr>
        <w:t>Dated: August 6, 2026 </w:t>
      </w:r>
      <w:r w:rsidRPr="001D4B6F">
        <w:rPr>
          <w:noProof/>
        </w:rPr>
        <w:drawing>
          <wp:inline distT="0" distB="0" distL="0" distR="0" wp14:anchorId="074FE855" wp14:editId="3F627286">
            <wp:extent cx="3009265" cy="741045"/>
            <wp:effectExtent l="0" t="0" r="63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09265" cy="741045"/>
                    </a:xfrm>
                    <a:prstGeom prst="rect">
                      <a:avLst/>
                    </a:prstGeom>
                    <a:noFill/>
                    <a:ln>
                      <a:noFill/>
                    </a:ln>
                  </pic:spPr>
                </pic:pic>
              </a:graphicData>
            </a:graphic>
          </wp:inline>
        </w:drawing>
      </w:r>
    </w:p>
    <w:p w14:paraId="4A72FF5F" w14:textId="77777777" w:rsidR="001D4B6F" w:rsidRPr="001D4B6F" w:rsidRDefault="001D4B6F" w:rsidP="001D4B6F">
      <w:pPr>
        <w:spacing w:before="810" w:after="0" w:line="240" w:lineRule="auto"/>
        <w:ind w:right="3248"/>
        <w:jc w:val="right"/>
        <w:rPr>
          <w:rFonts w:ascii="Times New Roman" w:eastAsia="Times New Roman" w:hAnsi="Times New Roman" w:cs="Times New Roman"/>
          <w:sz w:val="24"/>
          <w:szCs w:val="24"/>
        </w:rPr>
      </w:pPr>
      <w:r w:rsidRPr="001D4B6F">
        <w:rPr>
          <w:rFonts w:ascii="Arial" w:eastAsia="Times New Roman" w:hAnsi="Arial" w:cs="Arial"/>
          <w:color w:val="000000"/>
          <w:sz w:val="24"/>
          <w:szCs w:val="24"/>
        </w:rPr>
        <w:t>NICHOLAS B. LIENESCH </w:t>
      </w:r>
    </w:p>
    <w:p w14:paraId="38BBAF16" w14:textId="77777777" w:rsidR="001D4B6F" w:rsidRPr="001D4B6F" w:rsidRDefault="001D4B6F" w:rsidP="001D4B6F">
      <w:pPr>
        <w:spacing w:after="0" w:line="240" w:lineRule="auto"/>
        <w:ind w:right="3294"/>
        <w:jc w:val="right"/>
        <w:rPr>
          <w:rFonts w:ascii="Times New Roman" w:eastAsia="Times New Roman" w:hAnsi="Times New Roman" w:cs="Times New Roman"/>
          <w:sz w:val="24"/>
          <w:szCs w:val="24"/>
        </w:rPr>
      </w:pPr>
      <w:r w:rsidRPr="001D4B6F">
        <w:rPr>
          <w:rFonts w:ascii="Arial" w:eastAsia="Times New Roman" w:hAnsi="Arial" w:cs="Arial"/>
          <w:color w:val="000000"/>
          <w:sz w:val="24"/>
          <w:szCs w:val="24"/>
        </w:rPr>
        <w:t>Administrative Law Judge </w:t>
      </w:r>
    </w:p>
    <w:p w14:paraId="1338B516" w14:textId="77777777" w:rsidR="001D4B6F" w:rsidRPr="001D4B6F" w:rsidRDefault="001D4B6F" w:rsidP="001D4B6F">
      <w:pPr>
        <w:spacing w:before="913" w:after="0" w:line="240" w:lineRule="auto"/>
        <w:ind w:left="136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 </w:t>
      </w:r>
      <w:r w:rsidRPr="001D4B6F">
        <w:rPr>
          <w:rFonts w:ascii="Arial" w:eastAsia="Times New Roman" w:hAnsi="Arial" w:cs="Arial"/>
          <w:color w:val="000000"/>
          <w:sz w:val="20"/>
          <w:szCs w:val="20"/>
        </w:rPr>
        <w:t>Minn. Stat. §§ 211A.01-.14, 211B.01-.37 (2026). </w:t>
      </w:r>
    </w:p>
    <w:p w14:paraId="0187DB85" w14:textId="77777777" w:rsidR="001D4B6F" w:rsidRPr="001D4B6F" w:rsidRDefault="001D4B6F" w:rsidP="001D4B6F">
      <w:pPr>
        <w:spacing w:after="0" w:line="240" w:lineRule="auto"/>
        <w:ind w:right="5056"/>
        <w:jc w:val="right"/>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MEMORANDUM </w:t>
      </w:r>
    </w:p>
    <w:p w14:paraId="53FD3E94" w14:textId="77777777" w:rsidR="001D4B6F" w:rsidRPr="001D4B6F" w:rsidRDefault="001D4B6F" w:rsidP="001D4B6F">
      <w:pPr>
        <w:spacing w:before="272" w:after="0" w:line="240" w:lineRule="auto"/>
        <w:ind w:left="1369"/>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I. Factual and Procedural Background </w:t>
      </w:r>
    </w:p>
    <w:p w14:paraId="355695A0" w14:textId="77777777" w:rsidR="001D4B6F" w:rsidRPr="001D4B6F" w:rsidRDefault="001D4B6F" w:rsidP="001D4B6F">
      <w:pPr>
        <w:spacing w:before="272" w:after="0" w:line="240" w:lineRule="auto"/>
        <w:ind w:left="1358" w:right="1215" w:firstLine="737"/>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 xml:space="preserve">Respondent is a candidate for the position of Governor of Minnesota, which has </w:t>
      </w:r>
      <w:proofErr w:type="gramStart"/>
      <w:r w:rsidRPr="001D4B6F">
        <w:rPr>
          <w:rFonts w:ascii="Arial" w:eastAsia="Times New Roman" w:hAnsi="Arial" w:cs="Arial"/>
          <w:color w:val="000000"/>
          <w:sz w:val="24"/>
          <w:szCs w:val="24"/>
        </w:rPr>
        <w:t>a  primary</w:t>
      </w:r>
      <w:proofErr w:type="gramEnd"/>
      <w:r w:rsidRPr="001D4B6F">
        <w:rPr>
          <w:rFonts w:ascii="Arial" w:eastAsia="Times New Roman" w:hAnsi="Arial" w:cs="Arial"/>
          <w:color w:val="000000"/>
          <w:sz w:val="24"/>
          <w:szCs w:val="24"/>
        </w:rPr>
        <w:t xml:space="preserve"> election on August 11, 2026, and general election on November 3, 2026.</w:t>
      </w:r>
      <w:r w:rsidRPr="001D4B6F">
        <w:rPr>
          <w:rFonts w:ascii="Arial" w:eastAsia="Times New Roman" w:hAnsi="Arial" w:cs="Arial"/>
          <w:color w:val="000000"/>
          <w:sz w:val="16"/>
          <w:szCs w:val="16"/>
          <w:vertAlign w:val="superscript"/>
        </w:rPr>
        <w:t xml:space="preserve">2 </w:t>
      </w:r>
      <w:r w:rsidRPr="001D4B6F">
        <w:rPr>
          <w:rFonts w:ascii="Arial" w:eastAsia="Times New Roman" w:hAnsi="Arial" w:cs="Arial"/>
          <w:color w:val="000000"/>
          <w:sz w:val="24"/>
          <w:szCs w:val="24"/>
        </w:rPr>
        <w:t>On  July 22, 2026, Complainant filed a Fair Campaign Practices Complaint alleging that  Respondent violated Minn. Stat. § 211B.13 by distributing pillows, with campaign  literature in the packaging, to attendees of the Fourth of July Parade in Delano,  Minnesota.</w:t>
      </w:r>
      <w:r w:rsidRPr="001D4B6F">
        <w:rPr>
          <w:rFonts w:ascii="Arial" w:eastAsia="Times New Roman" w:hAnsi="Arial" w:cs="Arial"/>
          <w:color w:val="000000"/>
          <w:sz w:val="16"/>
          <w:szCs w:val="16"/>
          <w:vertAlign w:val="superscript"/>
        </w:rPr>
        <w:t>3</w:t>
      </w:r>
      <w:r w:rsidRPr="001D4B6F">
        <w:rPr>
          <w:rFonts w:ascii="Arial" w:eastAsia="Times New Roman" w:hAnsi="Arial" w:cs="Arial"/>
          <w:color w:val="000000"/>
          <w:sz w:val="16"/>
          <w:szCs w:val="16"/>
        </w:rPr>
        <w:t> </w:t>
      </w:r>
    </w:p>
    <w:p w14:paraId="55B6E29B" w14:textId="77777777" w:rsidR="001D4B6F" w:rsidRPr="001D4B6F" w:rsidRDefault="001D4B6F" w:rsidP="001D4B6F">
      <w:pPr>
        <w:spacing w:before="290" w:after="0" w:line="240" w:lineRule="auto"/>
        <w:ind w:left="1357" w:right="1215" w:firstLine="726"/>
        <w:rPr>
          <w:rFonts w:ascii="Times New Roman" w:eastAsia="Times New Roman" w:hAnsi="Times New Roman" w:cs="Times New Roman"/>
          <w:sz w:val="24"/>
          <w:szCs w:val="24"/>
        </w:rPr>
      </w:pPr>
      <w:r w:rsidRPr="001D4B6F">
        <w:rPr>
          <w:rFonts w:ascii="Arial" w:eastAsia="Times New Roman" w:hAnsi="Arial" w:cs="Arial"/>
          <w:color w:val="000000"/>
          <w:sz w:val="24"/>
          <w:szCs w:val="24"/>
        </w:rPr>
        <w:t>On July 27, 2026, the undersigned Judge determined that the Complaint set out a prima facie violation of Minn. Stat. § 211B.13.</w:t>
      </w:r>
      <w:r w:rsidRPr="001D4B6F">
        <w:rPr>
          <w:rFonts w:ascii="Arial" w:eastAsia="Times New Roman" w:hAnsi="Arial" w:cs="Arial"/>
          <w:color w:val="000000"/>
          <w:sz w:val="16"/>
          <w:szCs w:val="16"/>
          <w:vertAlign w:val="superscript"/>
        </w:rPr>
        <w:t xml:space="preserve">4 </w:t>
      </w:r>
      <w:r w:rsidRPr="001D4B6F">
        <w:rPr>
          <w:rFonts w:ascii="Arial" w:eastAsia="Times New Roman" w:hAnsi="Arial" w:cs="Arial"/>
          <w:color w:val="000000"/>
          <w:sz w:val="24"/>
          <w:szCs w:val="24"/>
        </w:rPr>
        <w:t>On July 30, 2026, Respondent filed multiple exhibits, consisting of: (1) affidavits from Respondent, his running mate Phillip C. Parrish (Parrish), and Lorilee K. Peterson, a campaign volunteer; (2) an invoice for the purchase of the pillows at issue in this case; and (3) photographs of the campaign event and the pillows that were distributed.</w:t>
      </w:r>
      <w:r w:rsidRPr="001D4B6F">
        <w:rPr>
          <w:rFonts w:ascii="Arial" w:eastAsia="Times New Roman" w:hAnsi="Arial" w:cs="Arial"/>
          <w:color w:val="000000"/>
          <w:sz w:val="16"/>
          <w:szCs w:val="16"/>
          <w:vertAlign w:val="superscript"/>
        </w:rPr>
        <w:t xml:space="preserve">5 </w:t>
      </w:r>
      <w:r w:rsidRPr="001D4B6F">
        <w:rPr>
          <w:rFonts w:ascii="Arial" w:eastAsia="Times New Roman" w:hAnsi="Arial" w:cs="Arial"/>
          <w:color w:val="000000"/>
          <w:sz w:val="24"/>
          <w:szCs w:val="24"/>
        </w:rPr>
        <w:t>A probable cause hearing was held via  telephone conference call on August 3, 2026.</w:t>
      </w:r>
      <w:r w:rsidRPr="001D4B6F">
        <w:rPr>
          <w:rFonts w:ascii="Arial" w:eastAsia="Times New Roman" w:hAnsi="Arial" w:cs="Arial"/>
          <w:color w:val="000000"/>
          <w:sz w:val="16"/>
          <w:szCs w:val="16"/>
          <w:vertAlign w:val="superscript"/>
        </w:rPr>
        <w:t>6</w:t>
      </w:r>
      <w:r w:rsidRPr="001D4B6F">
        <w:rPr>
          <w:rFonts w:ascii="Arial" w:eastAsia="Times New Roman" w:hAnsi="Arial" w:cs="Arial"/>
          <w:color w:val="000000"/>
          <w:sz w:val="16"/>
          <w:szCs w:val="16"/>
        </w:rPr>
        <w:t> </w:t>
      </w:r>
    </w:p>
    <w:p w14:paraId="64203916" w14:textId="77777777" w:rsidR="001D4B6F" w:rsidRPr="001D4B6F" w:rsidRDefault="001D4B6F" w:rsidP="001D4B6F">
      <w:pPr>
        <w:spacing w:before="291" w:after="0" w:line="240" w:lineRule="auto"/>
        <w:ind w:left="1357" w:right="1212" w:firstLine="736"/>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During the probable cause hearing, Complainant called Shawn Towle (Towle), the owner and operator of a local politics-focused online magazine, to testify as a fact witness.</w:t>
      </w:r>
      <w:r w:rsidRPr="001D4B6F">
        <w:rPr>
          <w:rFonts w:ascii="Arial" w:eastAsia="Times New Roman" w:hAnsi="Arial" w:cs="Arial"/>
          <w:color w:val="000000"/>
          <w:sz w:val="16"/>
          <w:szCs w:val="16"/>
          <w:vertAlign w:val="superscript"/>
        </w:rPr>
        <w:t xml:space="preserve">7 </w:t>
      </w:r>
      <w:r w:rsidRPr="001D4B6F">
        <w:rPr>
          <w:rFonts w:ascii="Arial" w:eastAsia="Times New Roman" w:hAnsi="Arial" w:cs="Arial"/>
          <w:color w:val="000000"/>
          <w:sz w:val="24"/>
          <w:szCs w:val="24"/>
        </w:rPr>
        <w:t xml:space="preserve">Towle testified that during the Delano Fourth of July Parade, Respondent rode on a float and distributed pillows to parade </w:t>
      </w:r>
      <w:r w:rsidRPr="001D4B6F">
        <w:rPr>
          <w:rFonts w:ascii="Arial" w:eastAsia="Times New Roman" w:hAnsi="Arial" w:cs="Arial"/>
          <w:color w:val="000000"/>
          <w:sz w:val="24"/>
          <w:szCs w:val="24"/>
        </w:rPr>
        <w:lastRenderedPageBreak/>
        <w:t>attendees.</w:t>
      </w:r>
      <w:r w:rsidRPr="001D4B6F">
        <w:rPr>
          <w:rFonts w:ascii="Arial" w:eastAsia="Times New Roman" w:hAnsi="Arial" w:cs="Arial"/>
          <w:color w:val="000000"/>
          <w:sz w:val="16"/>
          <w:szCs w:val="16"/>
          <w:vertAlign w:val="superscript"/>
        </w:rPr>
        <w:t xml:space="preserve">8 </w:t>
      </w:r>
      <w:r w:rsidRPr="001D4B6F">
        <w:rPr>
          <w:rFonts w:ascii="Arial" w:eastAsia="Times New Roman" w:hAnsi="Arial" w:cs="Arial"/>
          <w:color w:val="000000"/>
          <w:sz w:val="24"/>
          <w:szCs w:val="24"/>
        </w:rPr>
        <w:t>Towle testified that a flyer promoting Respondent’s campaign had been placed in the packaging around each pillow.</w:t>
      </w:r>
      <w:r w:rsidRPr="001D4B6F">
        <w:rPr>
          <w:rFonts w:ascii="Arial" w:eastAsia="Times New Roman" w:hAnsi="Arial" w:cs="Arial"/>
          <w:color w:val="000000"/>
          <w:sz w:val="16"/>
          <w:szCs w:val="16"/>
          <w:vertAlign w:val="superscript"/>
        </w:rPr>
        <w:t>9</w:t>
      </w:r>
      <w:r w:rsidRPr="001D4B6F">
        <w:rPr>
          <w:rFonts w:ascii="Arial" w:eastAsia="Times New Roman" w:hAnsi="Arial" w:cs="Arial"/>
          <w:color w:val="000000"/>
          <w:sz w:val="16"/>
          <w:szCs w:val="16"/>
        </w:rPr>
        <w:t> </w:t>
      </w:r>
    </w:p>
    <w:p w14:paraId="433AE698" w14:textId="77777777" w:rsidR="001D4B6F" w:rsidRPr="001D4B6F" w:rsidRDefault="001D4B6F" w:rsidP="001D4B6F">
      <w:pPr>
        <w:spacing w:before="293" w:after="0" w:line="240" w:lineRule="auto"/>
        <w:ind w:left="1357" w:right="1214" w:firstLine="738"/>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Respondent agreed that he and his campaign did distribute pillows packaged with campaign literature.</w:t>
      </w:r>
      <w:r w:rsidRPr="001D4B6F">
        <w:rPr>
          <w:rFonts w:ascii="Arial" w:eastAsia="Times New Roman" w:hAnsi="Arial" w:cs="Arial"/>
          <w:color w:val="000000"/>
          <w:sz w:val="16"/>
          <w:szCs w:val="16"/>
          <w:vertAlign w:val="superscript"/>
        </w:rPr>
        <w:t xml:space="preserve">10 </w:t>
      </w:r>
      <w:r w:rsidRPr="001D4B6F">
        <w:rPr>
          <w:rFonts w:ascii="Arial" w:eastAsia="Times New Roman" w:hAnsi="Arial" w:cs="Arial"/>
          <w:color w:val="000000"/>
          <w:sz w:val="24"/>
          <w:szCs w:val="24"/>
        </w:rPr>
        <w:t>Respondent testified that the pillows were purchased wholesale for  $4.90 per pillow, and that he and others associated with his campaign took steps prior to the parade to ensure that the distribution of the pillows was in compliance with relevant laws.</w:t>
      </w:r>
      <w:r w:rsidRPr="001D4B6F">
        <w:rPr>
          <w:rFonts w:ascii="Arial" w:eastAsia="Times New Roman" w:hAnsi="Arial" w:cs="Arial"/>
          <w:color w:val="000000"/>
          <w:sz w:val="16"/>
          <w:szCs w:val="16"/>
          <w:vertAlign w:val="superscript"/>
        </w:rPr>
        <w:t xml:space="preserve">11 </w:t>
      </w:r>
      <w:r w:rsidRPr="001D4B6F">
        <w:rPr>
          <w:rFonts w:ascii="Arial" w:eastAsia="Times New Roman" w:hAnsi="Arial" w:cs="Arial"/>
          <w:color w:val="000000"/>
          <w:sz w:val="24"/>
          <w:szCs w:val="24"/>
        </w:rPr>
        <w:t>Respondent also testified that the type of pillow in question can be purchased individually for a retail price of $9.95 with a promo code.</w:t>
      </w:r>
      <w:r w:rsidRPr="001D4B6F">
        <w:rPr>
          <w:rFonts w:ascii="Arial" w:eastAsia="Times New Roman" w:hAnsi="Arial" w:cs="Arial"/>
          <w:color w:val="000000"/>
          <w:sz w:val="16"/>
          <w:szCs w:val="16"/>
          <w:vertAlign w:val="superscript"/>
        </w:rPr>
        <w:t xml:space="preserve">12 </w:t>
      </w:r>
      <w:r w:rsidRPr="001D4B6F">
        <w:rPr>
          <w:rFonts w:ascii="Arial" w:eastAsia="Times New Roman" w:hAnsi="Arial" w:cs="Arial"/>
          <w:color w:val="000000"/>
          <w:sz w:val="24"/>
          <w:szCs w:val="24"/>
        </w:rPr>
        <w:t>Parrish testified that individuals within the campaign discussed the legality of distributing the pillows, and reached out to the Minnesota Campaign Finance Board prior to doing so.</w:t>
      </w:r>
      <w:r w:rsidRPr="001D4B6F">
        <w:rPr>
          <w:rFonts w:ascii="Arial" w:eastAsia="Times New Roman" w:hAnsi="Arial" w:cs="Arial"/>
          <w:color w:val="000000"/>
          <w:sz w:val="16"/>
          <w:szCs w:val="16"/>
          <w:vertAlign w:val="superscript"/>
        </w:rPr>
        <w:t xml:space="preserve">13 </w:t>
      </w:r>
      <w:r w:rsidRPr="001D4B6F">
        <w:rPr>
          <w:rFonts w:ascii="Arial" w:eastAsia="Times New Roman" w:hAnsi="Arial" w:cs="Arial"/>
          <w:color w:val="000000"/>
          <w:sz w:val="24"/>
          <w:szCs w:val="24"/>
        </w:rPr>
        <w:t>Parrish testified that his  understanding was that the price of the pillows would be relevant to this question, and  </w:t>
      </w:r>
    </w:p>
    <w:p w14:paraId="45AD3ABF" w14:textId="77777777" w:rsidR="001D4B6F" w:rsidRPr="001D4B6F" w:rsidRDefault="001D4B6F" w:rsidP="001D4B6F">
      <w:pPr>
        <w:spacing w:before="764" w:after="0" w:line="240" w:lineRule="auto"/>
        <w:ind w:left="135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2 </w:t>
      </w:r>
      <w:r w:rsidRPr="001D4B6F">
        <w:rPr>
          <w:rFonts w:ascii="Arial" w:eastAsia="Times New Roman" w:hAnsi="Arial" w:cs="Arial"/>
          <w:color w:val="000000"/>
          <w:sz w:val="20"/>
          <w:szCs w:val="20"/>
        </w:rPr>
        <w:t>Campaign Complaint (Complaint) at 3 (July 22, 2026). </w:t>
      </w:r>
    </w:p>
    <w:p w14:paraId="21B38FF3" w14:textId="77777777" w:rsidR="001D4B6F" w:rsidRPr="001D4B6F" w:rsidRDefault="001D4B6F" w:rsidP="001D4B6F">
      <w:pPr>
        <w:spacing w:after="0" w:line="240" w:lineRule="auto"/>
        <w:ind w:left="1358"/>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3 </w:t>
      </w:r>
      <w:r w:rsidRPr="001D4B6F">
        <w:rPr>
          <w:rFonts w:ascii="Arial" w:eastAsia="Times New Roman" w:hAnsi="Arial" w:cs="Arial"/>
          <w:color w:val="000000"/>
          <w:sz w:val="20"/>
          <w:szCs w:val="20"/>
        </w:rPr>
        <w:t>Complaint at 5-7. </w:t>
      </w:r>
    </w:p>
    <w:p w14:paraId="00A61999" w14:textId="77777777" w:rsidR="001D4B6F" w:rsidRPr="001D4B6F" w:rsidRDefault="001D4B6F" w:rsidP="001D4B6F">
      <w:pPr>
        <w:spacing w:after="0" w:line="240" w:lineRule="auto"/>
        <w:ind w:left="1357" w:right="1331" w:hanging="1"/>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4 </w:t>
      </w:r>
      <w:r w:rsidRPr="001D4B6F">
        <w:rPr>
          <w:rFonts w:ascii="Arial" w:eastAsia="Times New Roman" w:hAnsi="Arial" w:cs="Arial"/>
          <w:color w:val="000000"/>
          <w:sz w:val="20"/>
          <w:szCs w:val="20"/>
        </w:rPr>
        <w:t xml:space="preserve">Notice of Determination of Prima Facie Violation and Order for Probable Cause Hearing (July 27, 2026). </w:t>
      </w:r>
      <w:r w:rsidRPr="001D4B6F">
        <w:rPr>
          <w:rFonts w:ascii="Arial" w:eastAsia="Times New Roman" w:hAnsi="Arial" w:cs="Arial"/>
          <w:color w:val="000000"/>
          <w:sz w:val="13"/>
          <w:szCs w:val="13"/>
          <w:vertAlign w:val="superscript"/>
        </w:rPr>
        <w:t xml:space="preserve">5 </w:t>
      </w:r>
      <w:r w:rsidRPr="001D4B6F">
        <w:rPr>
          <w:rFonts w:ascii="Arial" w:eastAsia="Times New Roman" w:hAnsi="Arial" w:cs="Arial"/>
          <w:color w:val="000000"/>
          <w:sz w:val="20"/>
          <w:szCs w:val="20"/>
        </w:rPr>
        <w:t>Respondent Exhibits (July 30, 2026). </w:t>
      </w:r>
    </w:p>
    <w:p w14:paraId="7F30BE85" w14:textId="77777777" w:rsidR="001D4B6F" w:rsidRPr="001D4B6F" w:rsidRDefault="001D4B6F" w:rsidP="001D4B6F">
      <w:pPr>
        <w:spacing w:after="0" w:line="240" w:lineRule="auto"/>
        <w:ind w:left="1358" w:right="2714"/>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6 </w:t>
      </w:r>
      <w:r w:rsidRPr="001D4B6F">
        <w:rPr>
          <w:rFonts w:ascii="Arial" w:eastAsia="Times New Roman" w:hAnsi="Arial" w:cs="Arial"/>
          <w:color w:val="000000"/>
          <w:sz w:val="20"/>
          <w:szCs w:val="20"/>
        </w:rPr>
        <w:t xml:space="preserve">Notice of Determination of Prima Facie Violation and Order for Probable Cause Hearing. </w:t>
      </w:r>
      <w:r w:rsidRPr="001D4B6F">
        <w:rPr>
          <w:rFonts w:ascii="Arial" w:eastAsia="Times New Roman" w:hAnsi="Arial" w:cs="Arial"/>
          <w:color w:val="000000"/>
          <w:sz w:val="13"/>
          <w:szCs w:val="13"/>
          <w:vertAlign w:val="superscript"/>
        </w:rPr>
        <w:t xml:space="preserve">7 </w:t>
      </w:r>
      <w:r w:rsidRPr="001D4B6F">
        <w:rPr>
          <w:rFonts w:ascii="Arial" w:eastAsia="Times New Roman" w:hAnsi="Arial" w:cs="Arial"/>
          <w:color w:val="000000"/>
          <w:sz w:val="20"/>
          <w:szCs w:val="20"/>
        </w:rPr>
        <w:t>Testimony (Test.) of Shawn Towle. </w:t>
      </w:r>
    </w:p>
    <w:p w14:paraId="0C0A0083" w14:textId="77777777" w:rsidR="001D4B6F" w:rsidRPr="001D4B6F" w:rsidRDefault="001D4B6F" w:rsidP="001D4B6F">
      <w:pPr>
        <w:spacing w:before="11" w:after="0" w:line="240" w:lineRule="auto"/>
        <w:ind w:left="1359"/>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8</w:t>
      </w:r>
      <w:r w:rsidRPr="001D4B6F">
        <w:rPr>
          <w:rFonts w:ascii="Arial" w:eastAsia="Times New Roman" w:hAnsi="Arial" w:cs="Arial"/>
          <w:i/>
          <w:iCs/>
          <w:color w:val="000000"/>
          <w:sz w:val="20"/>
          <w:szCs w:val="20"/>
        </w:rPr>
        <w:t>Id</w:t>
      </w:r>
      <w:r w:rsidRPr="001D4B6F">
        <w:rPr>
          <w:rFonts w:ascii="Arial" w:eastAsia="Times New Roman" w:hAnsi="Arial" w:cs="Arial"/>
          <w:color w:val="000000"/>
          <w:sz w:val="20"/>
          <w:szCs w:val="20"/>
        </w:rPr>
        <w:t>. </w:t>
      </w:r>
    </w:p>
    <w:p w14:paraId="76C25AE8" w14:textId="77777777" w:rsidR="001D4B6F" w:rsidRPr="001D4B6F" w:rsidRDefault="001D4B6F" w:rsidP="001D4B6F">
      <w:pPr>
        <w:spacing w:after="0" w:line="240" w:lineRule="auto"/>
        <w:ind w:left="1359"/>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9</w:t>
      </w:r>
      <w:r w:rsidRPr="001D4B6F">
        <w:rPr>
          <w:rFonts w:ascii="Arial" w:eastAsia="Times New Roman" w:hAnsi="Arial" w:cs="Arial"/>
          <w:i/>
          <w:iCs/>
          <w:color w:val="000000"/>
          <w:sz w:val="20"/>
          <w:szCs w:val="20"/>
        </w:rPr>
        <w:t>Id</w:t>
      </w:r>
      <w:r w:rsidRPr="001D4B6F">
        <w:rPr>
          <w:rFonts w:ascii="Arial" w:eastAsia="Times New Roman" w:hAnsi="Arial" w:cs="Arial"/>
          <w:color w:val="000000"/>
          <w:sz w:val="20"/>
          <w:szCs w:val="20"/>
        </w:rPr>
        <w:t>. </w:t>
      </w:r>
    </w:p>
    <w:p w14:paraId="192674C3" w14:textId="77777777" w:rsidR="001D4B6F" w:rsidRPr="001D4B6F" w:rsidRDefault="001D4B6F" w:rsidP="001D4B6F">
      <w:pPr>
        <w:spacing w:after="0" w:line="240" w:lineRule="auto"/>
        <w:ind w:left="136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10 </w:t>
      </w:r>
      <w:r w:rsidRPr="001D4B6F">
        <w:rPr>
          <w:rFonts w:ascii="Arial" w:eastAsia="Times New Roman" w:hAnsi="Arial" w:cs="Arial"/>
          <w:color w:val="000000"/>
          <w:sz w:val="20"/>
          <w:szCs w:val="20"/>
        </w:rPr>
        <w:t>Test. of Mike Lindell; Affidavit of Mike Lindell; Affidavit of Phillip C. Parrish. </w:t>
      </w:r>
    </w:p>
    <w:p w14:paraId="735A27B1" w14:textId="77777777" w:rsidR="001D4B6F" w:rsidRPr="001D4B6F" w:rsidRDefault="001D4B6F" w:rsidP="001D4B6F">
      <w:pPr>
        <w:spacing w:after="0" w:line="240" w:lineRule="auto"/>
        <w:ind w:left="136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11 </w:t>
      </w:r>
      <w:r w:rsidRPr="001D4B6F">
        <w:rPr>
          <w:rFonts w:ascii="Arial" w:eastAsia="Times New Roman" w:hAnsi="Arial" w:cs="Arial"/>
          <w:color w:val="000000"/>
          <w:sz w:val="20"/>
          <w:szCs w:val="20"/>
        </w:rPr>
        <w:t>Test. of M. Lindell. </w:t>
      </w:r>
    </w:p>
    <w:p w14:paraId="64B19CBF" w14:textId="77777777" w:rsidR="001D4B6F" w:rsidRPr="001D4B6F" w:rsidRDefault="001D4B6F" w:rsidP="001D4B6F">
      <w:pPr>
        <w:spacing w:after="0" w:line="240" w:lineRule="auto"/>
        <w:ind w:left="136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12 </w:t>
      </w:r>
      <w:r w:rsidRPr="001D4B6F">
        <w:rPr>
          <w:rFonts w:ascii="Arial" w:eastAsia="Times New Roman" w:hAnsi="Arial" w:cs="Arial"/>
          <w:i/>
          <w:iCs/>
          <w:color w:val="000000"/>
          <w:sz w:val="20"/>
          <w:szCs w:val="20"/>
        </w:rPr>
        <w:t>Id</w:t>
      </w:r>
      <w:r w:rsidRPr="001D4B6F">
        <w:rPr>
          <w:rFonts w:ascii="Arial" w:eastAsia="Times New Roman" w:hAnsi="Arial" w:cs="Arial"/>
          <w:color w:val="000000"/>
          <w:sz w:val="20"/>
          <w:szCs w:val="20"/>
        </w:rPr>
        <w:t>. </w:t>
      </w:r>
    </w:p>
    <w:p w14:paraId="0CD73783" w14:textId="77777777" w:rsidR="001D4B6F" w:rsidRPr="001D4B6F" w:rsidRDefault="001D4B6F" w:rsidP="001D4B6F">
      <w:pPr>
        <w:spacing w:after="0" w:line="240" w:lineRule="auto"/>
        <w:ind w:left="136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13 </w:t>
      </w:r>
      <w:r w:rsidRPr="001D4B6F">
        <w:rPr>
          <w:rFonts w:ascii="Arial" w:eastAsia="Times New Roman" w:hAnsi="Arial" w:cs="Arial"/>
          <w:color w:val="000000"/>
          <w:sz w:val="20"/>
          <w:szCs w:val="20"/>
        </w:rPr>
        <w:t>Test. of Phillip C. Parrish.</w:t>
      </w:r>
    </w:p>
    <w:p w14:paraId="37795430" w14:textId="77777777" w:rsidR="001D4B6F" w:rsidRPr="001D4B6F" w:rsidRDefault="001D4B6F" w:rsidP="001D4B6F">
      <w:pPr>
        <w:spacing w:before="97" w:after="0" w:line="240" w:lineRule="auto"/>
        <w:ind w:left="1479"/>
        <w:rPr>
          <w:rFonts w:ascii="Times New Roman" w:eastAsia="Times New Roman" w:hAnsi="Times New Roman" w:cs="Times New Roman"/>
          <w:sz w:val="24"/>
          <w:szCs w:val="24"/>
        </w:rPr>
      </w:pPr>
      <w:r w:rsidRPr="001D4B6F">
        <w:rPr>
          <w:rFonts w:ascii="Arial" w:eastAsia="Times New Roman" w:hAnsi="Arial" w:cs="Arial"/>
          <w:color w:val="000000"/>
          <w:sz w:val="16"/>
          <w:szCs w:val="16"/>
        </w:rPr>
        <w:t xml:space="preserve">[242143/1] </w:t>
      </w:r>
      <w:r w:rsidRPr="001D4B6F">
        <w:rPr>
          <w:rFonts w:ascii="Arial" w:eastAsia="Times New Roman" w:hAnsi="Arial" w:cs="Arial"/>
          <w:color w:val="000000"/>
          <w:sz w:val="20"/>
          <w:szCs w:val="20"/>
        </w:rPr>
        <w:t>2 </w:t>
      </w:r>
    </w:p>
    <w:p w14:paraId="449F86BC" w14:textId="77777777" w:rsidR="001D4B6F" w:rsidRPr="001D4B6F" w:rsidRDefault="001D4B6F" w:rsidP="001D4B6F">
      <w:pPr>
        <w:spacing w:after="0" w:line="240" w:lineRule="auto"/>
        <w:ind w:left="1357" w:right="1218" w:hanging="6"/>
        <w:rPr>
          <w:rFonts w:ascii="Times New Roman" w:eastAsia="Times New Roman" w:hAnsi="Times New Roman" w:cs="Times New Roman"/>
          <w:sz w:val="24"/>
          <w:szCs w:val="24"/>
        </w:rPr>
      </w:pPr>
      <w:r w:rsidRPr="001D4B6F">
        <w:rPr>
          <w:rFonts w:ascii="Arial" w:eastAsia="Times New Roman" w:hAnsi="Arial" w:cs="Arial"/>
          <w:color w:val="000000"/>
          <w:sz w:val="24"/>
          <w:szCs w:val="24"/>
        </w:rPr>
        <w:t>that if anyone complained that distributing the pillows violated the law, the case might come before an administrative law judge.</w:t>
      </w:r>
      <w:r w:rsidRPr="001D4B6F">
        <w:rPr>
          <w:rFonts w:ascii="Arial" w:eastAsia="Times New Roman" w:hAnsi="Arial" w:cs="Arial"/>
          <w:color w:val="000000"/>
          <w:sz w:val="16"/>
          <w:szCs w:val="16"/>
          <w:vertAlign w:val="superscript"/>
        </w:rPr>
        <w:t>14</w:t>
      </w:r>
      <w:r w:rsidRPr="001D4B6F">
        <w:rPr>
          <w:rFonts w:ascii="Arial" w:eastAsia="Times New Roman" w:hAnsi="Arial" w:cs="Arial"/>
          <w:color w:val="000000"/>
          <w:sz w:val="16"/>
          <w:szCs w:val="16"/>
        </w:rPr>
        <w:t> </w:t>
      </w:r>
    </w:p>
    <w:p w14:paraId="3700B735" w14:textId="77777777" w:rsidR="001D4B6F" w:rsidRPr="001D4B6F" w:rsidRDefault="001D4B6F" w:rsidP="001D4B6F">
      <w:pPr>
        <w:spacing w:before="302" w:after="0" w:line="240" w:lineRule="auto"/>
        <w:ind w:left="1369"/>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II. Legal Standard </w:t>
      </w:r>
    </w:p>
    <w:p w14:paraId="31814F16" w14:textId="77777777" w:rsidR="001D4B6F" w:rsidRPr="001D4B6F" w:rsidRDefault="001D4B6F" w:rsidP="001D4B6F">
      <w:pPr>
        <w:spacing w:before="272" w:after="0" w:line="240" w:lineRule="auto"/>
        <w:ind w:left="1361" w:right="1216" w:firstLine="716"/>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The purpose of a probable cause hearing is to determine whether, given the facts submitted by the parties, sufficient facts exist in the record to believe that a violation of law has occurred as alleged in the Complaint.</w:t>
      </w:r>
      <w:r w:rsidRPr="001D4B6F">
        <w:rPr>
          <w:rFonts w:ascii="Arial" w:eastAsia="Times New Roman" w:hAnsi="Arial" w:cs="Arial"/>
          <w:color w:val="000000"/>
          <w:sz w:val="16"/>
          <w:szCs w:val="16"/>
          <w:vertAlign w:val="superscript"/>
        </w:rPr>
        <w:t xml:space="preserve">15 </w:t>
      </w:r>
      <w:r w:rsidRPr="001D4B6F">
        <w:rPr>
          <w:rFonts w:ascii="Arial" w:eastAsia="Times New Roman" w:hAnsi="Arial" w:cs="Arial"/>
          <w:color w:val="000000"/>
          <w:sz w:val="24"/>
          <w:szCs w:val="24"/>
        </w:rPr>
        <w:t>Probable cause “requires no more than  a reasonable belief that there is a chance that a claim may be held valid upon  adjudication.”</w:t>
      </w:r>
      <w:r w:rsidRPr="001D4B6F">
        <w:rPr>
          <w:rFonts w:ascii="Arial" w:eastAsia="Times New Roman" w:hAnsi="Arial" w:cs="Arial"/>
          <w:color w:val="000000"/>
          <w:sz w:val="16"/>
          <w:szCs w:val="16"/>
          <w:vertAlign w:val="superscript"/>
        </w:rPr>
        <w:t>16</w:t>
      </w:r>
      <w:r w:rsidRPr="001D4B6F">
        <w:rPr>
          <w:rFonts w:ascii="Arial" w:eastAsia="Times New Roman" w:hAnsi="Arial" w:cs="Arial"/>
          <w:color w:val="000000"/>
          <w:sz w:val="16"/>
          <w:szCs w:val="16"/>
        </w:rPr>
        <w:t> </w:t>
      </w:r>
    </w:p>
    <w:p w14:paraId="48C3C8DF" w14:textId="77777777" w:rsidR="001D4B6F" w:rsidRPr="001D4B6F" w:rsidRDefault="001D4B6F" w:rsidP="001D4B6F">
      <w:pPr>
        <w:spacing w:before="258" w:after="0" w:line="240" w:lineRule="auto"/>
        <w:ind w:left="1350" w:right="1214" w:firstLine="727"/>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The prima facie determination assumed that all the allegations in the complaint were true as required by law.</w:t>
      </w:r>
      <w:r w:rsidRPr="001D4B6F">
        <w:rPr>
          <w:rFonts w:ascii="Arial" w:eastAsia="Times New Roman" w:hAnsi="Arial" w:cs="Arial"/>
          <w:color w:val="000000"/>
          <w:sz w:val="16"/>
          <w:szCs w:val="16"/>
          <w:vertAlign w:val="superscript"/>
        </w:rPr>
        <w:t xml:space="preserve">17 </w:t>
      </w:r>
      <w:r w:rsidRPr="001D4B6F">
        <w:rPr>
          <w:rFonts w:ascii="Arial" w:eastAsia="Times New Roman" w:hAnsi="Arial" w:cs="Arial"/>
          <w:color w:val="000000"/>
          <w:sz w:val="24"/>
          <w:szCs w:val="24"/>
        </w:rPr>
        <w:t xml:space="preserve">At the probable cause hearing, the administrative law judge’s task is to </w:t>
      </w:r>
      <w:r w:rsidRPr="001D4B6F">
        <w:rPr>
          <w:rFonts w:ascii="Arial" w:eastAsia="Times New Roman" w:hAnsi="Arial" w:cs="Arial"/>
          <w:color w:val="000000"/>
          <w:sz w:val="24"/>
          <w:szCs w:val="24"/>
        </w:rPr>
        <w:lastRenderedPageBreak/>
        <w:t>perform a cautious review of the facts available without that assumption,  and to determine whether sufficient facts exist in the record to believe the law has been violated.</w:t>
      </w:r>
      <w:r w:rsidRPr="001D4B6F">
        <w:rPr>
          <w:rFonts w:ascii="Arial" w:eastAsia="Times New Roman" w:hAnsi="Arial" w:cs="Arial"/>
          <w:color w:val="000000"/>
          <w:sz w:val="16"/>
          <w:szCs w:val="16"/>
          <w:vertAlign w:val="superscript"/>
        </w:rPr>
        <w:t xml:space="preserve">18 </w:t>
      </w:r>
      <w:r w:rsidRPr="001D4B6F">
        <w:rPr>
          <w:rFonts w:ascii="Arial" w:eastAsia="Times New Roman" w:hAnsi="Arial" w:cs="Arial"/>
          <w:color w:val="000000"/>
          <w:sz w:val="24"/>
          <w:szCs w:val="24"/>
        </w:rPr>
        <w:t>As in criminal cases, the probable cause hearing does not call for an assessment of the relative credibility of conflicting testimony.</w:t>
      </w:r>
      <w:r w:rsidRPr="001D4B6F">
        <w:rPr>
          <w:rFonts w:ascii="Arial" w:eastAsia="Times New Roman" w:hAnsi="Arial" w:cs="Arial"/>
          <w:color w:val="000000"/>
          <w:sz w:val="16"/>
          <w:szCs w:val="16"/>
          <w:vertAlign w:val="superscript"/>
        </w:rPr>
        <w:t xml:space="preserve">19 </w:t>
      </w:r>
      <w:r w:rsidRPr="001D4B6F">
        <w:rPr>
          <w:rFonts w:ascii="Arial" w:eastAsia="Times New Roman" w:hAnsi="Arial" w:cs="Arial"/>
          <w:color w:val="000000"/>
          <w:sz w:val="24"/>
          <w:szCs w:val="24"/>
        </w:rPr>
        <w:t>A probable cause hearing in a civil matter is neither a preview nor a hearing on the merits; its function is simply to determine whether the facts available establish a reasonable belief that a respondent has committed a violation.</w:t>
      </w:r>
      <w:r w:rsidRPr="001D4B6F">
        <w:rPr>
          <w:rFonts w:ascii="Arial" w:eastAsia="Times New Roman" w:hAnsi="Arial" w:cs="Arial"/>
          <w:color w:val="000000"/>
          <w:sz w:val="16"/>
          <w:szCs w:val="16"/>
          <w:vertAlign w:val="superscript"/>
        </w:rPr>
        <w:t>20</w:t>
      </w:r>
      <w:r w:rsidRPr="001D4B6F">
        <w:rPr>
          <w:rFonts w:ascii="Arial" w:eastAsia="Times New Roman" w:hAnsi="Arial" w:cs="Arial"/>
          <w:color w:val="000000"/>
          <w:sz w:val="16"/>
          <w:szCs w:val="16"/>
        </w:rPr>
        <w:t> </w:t>
      </w:r>
    </w:p>
    <w:p w14:paraId="19FDF09A" w14:textId="77777777" w:rsidR="001D4B6F" w:rsidRPr="001D4B6F" w:rsidRDefault="001D4B6F" w:rsidP="001D4B6F">
      <w:pPr>
        <w:spacing w:before="291" w:after="0" w:line="240" w:lineRule="auto"/>
        <w:ind w:left="1369"/>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III. Analysis </w:t>
      </w:r>
    </w:p>
    <w:p w14:paraId="3E03F267" w14:textId="77777777" w:rsidR="001D4B6F" w:rsidRPr="001D4B6F" w:rsidRDefault="001D4B6F" w:rsidP="001D4B6F">
      <w:pPr>
        <w:spacing w:before="272" w:after="0" w:line="240" w:lineRule="auto"/>
        <w:ind w:left="2091"/>
        <w:rPr>
          <w:rFonts w:ascii="Times New Roman" w:eastAsia="Times New Roman" w:hAnsi="Times New Roman" w:cs="Times New Roman"/>
          <w:sz w:val="24"/>
          <w:szCs w:val="24"/>
        </w:rPr>
      </w:pPr>
      <w:r w:rsidRPr="001D4B6F">
        <w:rPr>
          <w:rFonts w:ascii="Arial" w:eastAsia="Times New Roman" w:hAnsi="Arial" w:cs="Arial"/>
          <w:color w:val="000000"/>
          <w:sz w:val="24"/>
          <w:szCs w:val="24"/>
        </w:rPr>
        <w:t xml:space="preserve">Minn. Stat. § 211B.13, </w:t>
      </w:r>
      <w:proofErr w:type="spellStart"/>
      <w:r w:rsidRPr="001D4B6F">
        <w:rPr>
          <w:rFonts w:ascii="Arial" w:eastAsia="Times New Roman" w:hAnsi="Arial" w:cs="Arial"/>
          <w:color w:val="000000"/>
          <w:sz w:val="24"/>
          <w:szCs w:val="24"/>
        </w:rPr>
        <w:t>subd</w:t>
      </w:r>
      <w:proofErr w:type="spellEnd"/>
      <w:r w:rsidRPr="001D4B6F">
        <w:rPr>
          <w:rFonts w:ascii="Arial" w:eastAsia="Times New Roman" w:hAnsi="Arial" w:cs="Arial"/>
          <w:color w:val="000000"/>
          <w:sz w:val="24"/>
          <w:szCs w:val="24"/>
        </w:rPr>
        <w:t>. 1 provides as follows:  </w:t>
      </w:r>
    </w:p>
    <w:p w14:paraId="38772492" w14:textId="77777777" w:rsidR="001D4B6F" w:rsidRPr="001D4B6F" w:rsidRDefault="001D4B6F" w:rsidP="001D4B6F">
      <w:pPr>
        <w:spacing w:before="272" w:after="0" w:line="240" w:lineRule="auto"/>
        <w:ind w:left="2076" w:right="1935" w:firstLine="1"/>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A person who willfully, directly or indirectly, advances, pays, gives,  promises, or lends any money, food, liquor, clothing, entertainment, or other thing of monetary value, or who offers, promises, or endeavors to obtain any money, position, appointment, employment, or other valuable consideration, to or for a person, in order to induce a voter to refrain from voting, or to vote in a particular way, at an election, is guilty of a felony. This section does not prevent a candidate from stating publicly preference for or support of another candidate to be voted for at the same primary or election.  Refreshments of food or nonalcoholic beverages having a value up to $</w:t>
      </w:r>
      <w:proofErr w:type="gramStart"/>
      <w:r w:rsidRPr="001D4B6F">
        <w:rPr>
          <w:rFonts w:ascii="Arial" w:eastAsia="Times New Roman" w:hAnsi="Arial" w:cs="Arial"/>
          <w:color w:val="000000"/>
          <w:sz w:val="24"/>
          <w:szCs w:val="24"/>
        </w:rPr>
        <w:t>5  consumed</w:t>
      </w:r>
      <w:proofErr w:type="gramEnd"/>
      <w:r w:rsidRPr="001D4B6F">
        <w:rPr>
          <w:rFonts w:ascii="Arial" w:eastAsia="Times New Roman" w:hAnsi="Arial" w:cs="Arial"/>
          <w:color w:val="000000"/>
          <w:sz w:val="24"/>
          <w:szCs w:val="24"/>
        </w:rPr>
        <w:t xml:space="preserve"> on the premises at a private gathering or public meeting are not prohibited under this section. </w:t>
      </w:r>
    </w:p>
    <w:p w14:paraId="4DC2D5FF" w14:textId="77777777" w:rsidR="001D4B6F" w:rsidRPr="001D4B6F" w:rsidRDefault="001D4B6F" w:rsidP="001D4B6F">
      <w:pPr>
        <w:spacing w:before="515" w:after="0" w:line="240" w:lineRule="auto"/>
        <w:ind w:left="136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14 </w:t>
      </w:r>
      <w:r w:rsidRPr="001D4B6F">
        <w:rPr>
          <w:rFonts w:ascii="Arial" w:eastAsia="Times New Roman" w:hAnsi="Arial" w:cs="Arial"/>
          <w:i/>
          <w:iCs/>
          <w:color w:val="000000"/>
          <w:sz w:val="20"/>
          <w:szCs w:val="20"/>
        </w:rPr>
        <w:t>Id</w:t>
      </w:r>
      <w:r w:rsidRPr="001D4B6F">
        <w:rPr>
          <w:rFonts w:ascii="Arial" w:eastAsia="Times New Roman" w:hAnsi="Arial" w:cs="Arial"/>
          <w:color w:val="000000"/>
          <w:sz w:val="20"/>
          <w:szCs w:val="20"/>
        </w:rPr>
        <w:t>. </w:t>
      </w:r>
    </w:p>
    <w:p w14:paraId="46987320" w14:textId="77777777" w:rsidR="001D4B6F" w:rsidRPr="001D4B6F" w:rsidRDefault="001D4B6F" w:rsidP="001D4B6F">
      <w:pPr>
        <w:spacing w:after="0" w:line="240" w:lineRule="auto"/>
        <w:ind w:left="1361" w:right="1226" w:firstLine="6"/>
        <w:jc w:val="both"/>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15 </w:t>
      </w:r>
      <w:r w:rsidRPr="001D4B6F">
        <w:rPr>
          <w:rFonts w:ascii="Arial" w:eastAsia="Times New Roman" w:hAnsi="Arial" w:cs="Arial"/>
          <w:i/>
          <w:iCs/>
          <w:color w:val="000000"/>
          <w:sz w:val="20"/>
          <w:szCs w:val="20"/>
        </w:rPr>
        <w:t>Weinberger v. Maplewood Review</w:t>
      </w:r>
      <w:r w:rsidRPr="001D4B6F">
        <w:rPr>
          <w:rFonts w:ascii="Arial" w:eastAsia="Times New Roman" w:hAnsi="Arial" w:cs="Arial"/>
          <w:color w:val="000000"/>
          <w:sz w:val="20"/>
          <w:szCs w:val="20"/>
        </w:rPr>
        <w:t>, 668 N.W.2d 667, 664 (Minn. 2003) (“[I]n civil cases probable cause constitutes a bona fide belief in the existence of the facts essential under the law for the action and such as would warrant a person of ordinary caution, prudence and judgment, under the circumstances, in entertaining it”) (internal quotation marks omitted). </w:t>
      </w:r>
    </w:p>
    <w:p w14:paraId="61856425" w14:textId="77777777" w:rsidR="001D4B6F" w:rsidRPr="001D4B6F" w:rsidRDefault="001D4B6F" w:rsidP="001D4B6F">
      <w:pPr>
        <w:spacing w:after="0" w:line="240" w:lineRule="auto"/>
        <w:ind w:left="1367" w:right="1283" w:firstLine="14"/>
        <w:rPr>
          <w:rFonts w:ascii="Times New Roman" w:eastAsia="Times New Roman" w:hAnsi="Times New Roman" w:cs="Times New Roman"/>
          <w:sz w:val="24"/>
          <w:szCs w:val="24"/>
        </w:rPr>
      </w:pPr>
      <w:r w:rsidRPr="001D4B6F">
        <w:rPr>
          <w:rFonts w:ascii="Arial" w:eastAsia="Times New Roman" w:hAnsi="Arial" w:cs="Arial"/>
          <w:i/>
          <w:iCs/>
          <w:color w:val="000000"/>
          <w:sz w:val="13"/>
          <w:szCs w:val="13"/>
          <w:vertAlign w:val="superscript"/>
        </w:rPr>
        <w:t xml:space="preserve">16 </w:t>
      </w:r>
      <w:r w:rsidRPr="001D4B6F">
        <w:rPr>
          <w:rFonts w:ascii="Arial" w:eastAsia="Times New Roman" w:hAnsi="Arial" w:cs="Arial"/>
          <w:i/>
          <w:iCs/>
          <w:color w:val="000000"/>
          <w:sz w:val="20"/>
          <w:szCs w:val="20"/>
        </w:rPr>
        <w:t xml:space="preserve">Pro. Real Est. </w:t>
      </w:r>
      <w:proofErr w:type="spellStart"/>
      <w:r w:rsidRPr="001D4B6F">
        <w:rPr>
          <w:rFonts w:ascii="Arial" w:eastAsia="Times New Roman" w:hAnsi="Arial" w:cs="Arial"/>
          <w:i/>
          <w:iCs/>
          <w:color w:val="000000"/>
          <w:sz w:val="20"/>
          <w:szCs w:val="20"/>
        </w:rPr>
        <w:t>Invs</w:t>
      </w:r>
      <w:proofErr w:type="spellEnd"/>
      <w:r w:rsidRPr="001D4B6F">
        <w:rPr>
          <w:rFonts w:ascii="Arial" w:eastAsia="Times New Roman" w:hAnsi="Arial" w:cs="Arial"/>
          <w:i/>
          <w:iCs/>
          <w:color w:val="000000"/>
          <w:sz w:val="20"/>
          <w:szCs w:val="20"/>
        </w:rPr>
        <w:t>., Inc. v. Columbia Pictures Indus., Inc.</w:t>
      </w:r>
      <w:r w:rsidRPr="001D4B6F">
        <w:rPr>
          <w:rFonts w:ascii="Arial" w:eastAsia="Times New Roman" w:hAnsi="Arial" w:cs="Arial"/>
          <w:color w:val="000000"/>
          <w:sz w:val="20"/>
          <w:szCs w:val="20"/>
        </w:rPr>
        <w:t xml:space="preserve">, 508 U.S. 49, 62-63 (1993) (citation modified). </w:t>
      </w:r>
      <w:r w:rsidRPr="001D4B6F">
        <w:rPr>
          <w:rFonts w:ascii="Arial" w:eastAsia="Times New Roman" w:hAnsi="Arial" w:cs="Arial"/>
          <w:color w:val="000000"/>
          <w:sz w:val="13"/>
          <w:szCs w:val="13"/>
          <w:vertAlign w:val="superscript"/>
        </w:rPr>
        <w:t xml:space="preserve">17 </w:t>
      </w:r>
      <w:r w:rsidRPr="001D4B6F">
        <w:rPr>
          <w:rFonts w:ascii="Arial" w:eastAsia="Times New Roman" w:hAnsi="Arial" w:cs="Arial"/>
          <w:color w:val="000000"/>
          <w:sz w:val="20"/>
          <w:szCs w:val="20"/>
        </w:rPr>
        <w:t xml:space="preserve">Minn. Stat. § 211B.32, </w:t>
      </w:r>
      <w:proofErr w:type="spellStart"/>
      <w:r w:rsidRPr="001D4B6F">
        <w:rPr>
          <w:rFonts w:ascii="Arial" w:eastAsia="Times New Roman" w:hAnsi="Arial" w:cs="Arial"/>
          <w:color w:val="000000"/>
          <w:sz w:val="20"/>
          <w:szCs w:val="20"/>
        </w:rPr>
        <w:t>subd</w:t>
      </w:r>
      <w:proofErr w:type="spellEnd"/>
      <w:r w:rsidRPr="001D4B6F">
        <w:rPr>
          <w:rFonts w:ascii="Arial" w:eastAsia="Times New Roman" w:hAnsi="Arial" w:cs="Arial"/>
          <w:color w:val="000000"/>
          <w:sz w:val="20"/>
          <w:szCs w:val="20"/>
        </w:rPr>
        <w:t>. 3. </w:t>
      </w:r>
    </w:p>
    <w:p w14:paraId="555FD142" w14:textId="77777777" w:rsidR="001D4B6F" w:rsidRPr="001D4B6F" w:rsidRDefault="001D4B6F" w:rsidP="001D4B6F">
      <w:pPr>
        <w:spacing w:after="0" w:line="240" w:lineRule="auto"/>
        <w:ind w:left="136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18 </w:t>
      </w:r>
      <w:r w:rsidRPr="001D4B6F">
        <w:rPr>
          <w:rFonts w:ascii="Arial" w:eastAsia="Times New Roman" w:hAnsi="Arial" w:cs="Arial"/>
          <w:color w:val="000000"/>
          <w:sz w:val="20"/>
          <w:szCs w:val="20"/>
        </w:rPr>
        <w:t xml:space="preserve">Minn. Stat. § 211B.34, </w:t>
      </w:r>
      <w:proofErr w:type="spellStart"/>
      <w:r w:rsidRPr="001D4B6F">
        <w:rPr>
          <w:rFonts w:ascii="Arial" w:eastAsia="Times New Roman" w:hAnsi="Arial" w:cs="Arial"/>
          <w:color w:val="000000"/>
          <w:sz w:val="20"/>
          <w:szCs w:val="20"/>
        </w:rPr>
        <w:t>subd</w:t>
      </w:r>
      <w:proofErr w:type="spellEnd"/>
      <w:r w:rsidRPr="001D4B6F">
        <w:rPr>
          <w:rFonts w:ascii="Arial" w:eastAsia="Times New Roman" w:hAnsi="Arial" w:cs="Arial"/>
          <w:color w:val="000000"/>
          <w:sz w:val="20"/>
          <w:szCs w:val="20"/>
        </w:rPr>
        <w:t>. 2. </w:t>
      </w:r>
    </w:p>
    <w:p w14:paraId="57EBA771" w14:textId="77777777" w:rsidR="001D4B6F" w:rsidRPr="001D4B6F" w:rsidRDefault="001D4B6F" w:rsidP="001D4B6F">
      <w:pPr>
        <w:spacing w:after="0" w:line="240" w:lineRule="auto"/>
        <w:ind w:left="1357" w:right="1226" w:firstLine="10"/>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19 </w:t>
      </w:r>
      <w:r w:rsidRPr="001D4B6F">
        <w:rPr>
          <w:rFonts w:ascii="Arial" w:eastAsia="Times New Roman" w:hAnsi="Arial" w:cs="Arial"/>
          <w:i/>
          <w:iCs/>
          <w:color w:val="000000"/>
          <w:sz w:val="20"/>
          <w:szCs w:val="20"/>
        </w:rPr>
        <w:t>See State v. Florence</w:t>
      </w:r>
      <w:r w:rsidRPr="001D4B6F">
        <w:rPr>
          <w:rFonts w:ascii="Arial" w:eastAsia="Times New Roman" w:hAnsi="Arial" w:cs="Arial"/>
          <w:color w:val="000000"/>
          <w:sz w:val="20"/>
          <w:szCs w:val="20"/>
        </w:rPr>
        <w:t xml:space="preserve">, 239 N.W.2d 892, 903-04 (Minn. 1976) (explaining probable cause standard in criminal context). </w:t>
      </w:r>
      <w:r w:rsidRPr="001D4B6F">
        <w:rPr>
          <w:rFonts w:ascii="Arial" w:eastAsia="Times New Roman" w:hAnsi="Arial" w:cs="Arial"/>
          <w:i/>
          <w:iCs/>
          <w:color w:val="000000"/>
          <w:sz w:val="20"/>
          <w:szCs w:val="20"/>
        </w:rPr>
        <w:t>See also State v. Hegstrom</w:t>
      </w:r>
      <w:r w:rsidRPr="001D4B6F">
        <w:rPr>
          <w:rFonts w:ascii="Arial" w:eastAsia="Times New Roman" w:hAnsi="Arial" w:cs="Arial"/>
          <w:color w:val="000000"/>
          <w:sz w:val="20"/>
          <w:szCs w:val="20"/>
        </w:rPr>
        <w:t xml:space="preserve">, 543 N.W.2d 698, 702 (Minn. Ct. App. 1996), </w:t>
      </w:r>
      <w:r w:rsidRPr="001D4B6F">
        <w:rPr>
          <w:rFonts w:ascii="Arial" w:eastAsia="Times New Roman" w:hAnsi="Arial" w:cs="Arial"/>
          <w:i/>
          <w:iCs/>
          <w:color w:val="000000"/>
          <w:sz w:val="20"/>
          <w:szCs w:val="20"/>
        </w:rPr>
        <w:t xml:space="preserve">review denied </w:t>
      </w:r>
      <w:r w:rsidRPr="001D4B6F">
        <w:rPr>
          <w:rFonts w:ascii="Arial" w:eastAsia="Times New Roman" w:hAnsi="Arial" w:cs="Arial"/>
          <w:color w:val="000000"/>
          <w:sz w:val="20"/>
          <w:szCs w:val="20"/>
        </w:rPr>
        <w:t xml:space="preserve">(Minn. Apr. 16, 1996). The criminal probable cause standard is informative but not controlling in a civil case. </w:t>
      </w:r>
      <w:r w:rsidRPr="001D4B6F">
        <w:rPr>
          <w:rFonts w:ascii="Arial" w:eastAsia="Times New Roman" w:hAnsi="Arial" w:cs="Arial"/>
          <w:color w:val="000000"/>
          <w:sz w:val="13"/>
          <w:szCs w:val="13"/>
          <w:vertAlign w:val="superscript"/>
        </w:rPr>
        <w:t xml:space="preserve">20 </w:t>
      </w:r>
      <w:r w:rsidRPr="001D4B6F">
        <w:rPr>
          <w:rFonts w:ascii="Arial" w:eastAsia="Times New Roman" w:hAnsi="Arial" w:cs="Arial"/>
          <w:i/>
          <w:iCs/>
          <w:color w:val="000000"/>
          <w:sz w:val="20"/>
          <w:szCs w:val="20"/>
        </w:rPr>
        <w:t xml:space="preserve">See </w:t>
      </w:r>
      <w:r w:rsidRPr="001D4B6F">
        <w:rPr>
          <w:rFonts w:ascii="Arial" w:eastAsia="Times New Roman" w:hAnsi="Arial" w:cs="Arial"/>
          <w:color w:val="000000"/>
          <w:sz w:val="20"/>
          <w:szCs w:val="20"/>
        </w:rPr>
        <w:t xml:space="preserve">Minn. Stat. §§ 211B.34, </w:t>
      </w:r>
      <w:proofErr w:type="spellStart"/>
      <w:r w:rsidRPr="001D4B6F">
        <w:rPr>
          <w:rFonts w:ascii="Arial" w:eastAsia="Times New Roman" w:hAnsi="Arial" w:cs="Arial"/>
          <w:color w:val="000000"/>
          <w:sz w:val="20"/>
          <w:szCs w:val="20"/>
        </w:rPr>
        <w:t>subd</w:t>
      </w:r>
      <w:proofErr w:type="spellEnd"/>
      <w:r w:rsidRPr="001D4B6F">
        <w:rPr>
          <w:rFonts w:ascii="Arial" w:eastAsia="Times New Roman" w:hAnsi="Arial" w:cs="Arial"/>
          <w:color w:val="000000"/>
          <w:sz w:val="20"/>
          <w:szCs w:val="20"/>
        </w:rPr>
        <w:t xml:space="preserve">. 2(b), 211B.35. </w:t>
      </w:r>
      <w:r w:rsidRPr="001D4B6F">
        <w:rPr>
          <w:rFonts w:ascii="Arial" w:eastAsia="Times New Roman" w:hAnsi="Arial" w:cs="Arial"/>
          <w:i/>
          <w:iCs/>
          <w:color w:val="000000"/>
          <w:sz w:val="20"/>
          <w:szCs w:val="20"/>
        </w:rPr>
        <w:t>See also Florence</w:t>
      </w:r>
      <w:r w:rsidRPr="001D4B6F">
        <w:rPr>
          <w:rFonts w:ascii="Arial" w:eastAsia="Times New Roman" w:hAnsi="Arial" w:cs="Arial"/>
          <w:color w:val="000000"/>
          <w:sz w:val="20"/>
          <w:szCs w:val="20"/>
        </w:rPr>
        <w:t>, 239 N.W.2d at 903.</w:t>
      </w:r>
    </w:p>
    <w:p w14:paraId="06838B6C" w14:textId="77777777" w:rsidR="001D4B6F" w:rsidRPr="001D4B6F" w:rsidRDefault="001D4B6F" w:rsidP="001D4B6F">
      <w:pPr>
        <w:spacing w:before="117" w:after="0" w:line="240" w:lineRule="auto"/>
        <w:ind w:left="1479"/>
        <w:rPr>
          <w:rFonts w:ascii="Times New Roman" w:eastAsia="Times New Roman" w:hAnsi="Times New Roman" w:cs="Times New Roman"/>
          <w:sz w:val="24"/>
          <w:szCs w:val="24"/>
        </w:rPr>
      </w:pPr>
      <w:r w:rsidRPr="001D4B6F">
        <w:rPr>
          <w:rFonts w:ascii="Arial" w:eastAsia="Times New Roman" w:hAnsi="Arial" w:cs="Arial"/>
          <w:color w:val="000000"/>
          <w:sz w:val="16"/>
          <w:szCs w:val="16"/>
        </w:rPr>
        <w:t xml:space="preserve">[242143/1] </w:t>
      </w:r>
      <w:r w:rsidRPr="001D4B6F">
        <w:rPr>
          <w:rFonts w:ascii="Arial" w:eastAsia="Times New Roman" w:hAnsi="Arial" w:cs="Arial"/>
          <w:color w:val="000000"/>
          <w:sz w:val="20"/>
          <w:szCs w:val="20"/>
        </w:rPr>
        <w:t>3 </w:t>
      </w:r>
    </w:p>
    <w:p w14:paraId="7F885AE3" w14:textId="045C7492" w:rsidR="001D4B6F" w:rsidRPr="001D4B6F" w:rsidRDefault="001D4B6F" w:rsidP="001D4B6F">
      <w:pPr>
        <w:spacing w:after="0" w:line="240" w:lineRule="auto"/>
        <w:ind w:left="1357" w:right="1213" w:firstLine="735"/>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lastRenderedPageBreak/>
        <w:t xml:space="preserve">Here, the parties agree that Respondent distributed pillows to people at the parade. Those pillows were packaged with literature promoting his gubernatorial campaign. While there is disagreement on the precise value of the pillows in this case, Respondent provided evidence that his campaign bought the pillows for a wholesale price of $4.90 per pillow. Although Minn. Stat. § 211B.13, </w:t>
      </w:r>
      <w:proofErr w:type="spellStart"/>
      <w:r w:rsidRPr="001D4B6F">
        <w:rPr>
          <w:rFonts w:ascii="Arial" w:eastAsia="Times New Roman" w:hAnsi="Arial" w:cs="Arial"/>
          <w:color w:val="000000"/>
          <w:sz w:val="24"/>
          <w:szCs w:val="24"/>
        </w:rPr>
        <w:t>subd</w:t>
      </w:r>
      <w:proofErr w:type="spellEnd"/>
      <w:r w:rsidRPr="001D4B6F">
        <w:rPr>
          <w:rFonts w:ascii="Arial" w:eastAsia="Times New Roman" w:hAnsi="Arial" w:cs="Arial"/>
          <w:color w:val="000000"/>
          <w:sz w:val="24"/>
          <w:szCs w:val="24"/>
        </w:rPr>
        <w:t>. 1 explicitly exempts refreshments of food or nonalcoholic beverages valued at $5 or less and consumed on the premises, this exemption does not apply to pillows.</w:t>
      </w:r>
      <w:r w:rsidRPr="001D4B6F">
        <w:rPr>
          <w:rFonts w:ascii="Arial" w:eastAsia="Times New Roman" w:hAnsi="Arial" w:cs="Arial"/>
          <w:color w:val="000000"/>
          <w:sz w:val="16"/>
          <w:szCs w:val="16"/>
          <w:vertAlign w:val="superscript"/>
        </w:rPr>
        <w:t xml:space="preserve">21 </w:t>
      </w:r>
      <w:r w:rsidRPr="001D4B6F">
        <w:rPr>
          <w:rFonts w:ascii="Arial" w:eastAsia="Times New Roman" w:hAnsi="Arial" w:cs="Arial"/>
          <w:color w:val="000000"/>
          <w:sz w:val="24"/>
          <w:szCs w:val="24"/>
        </w:rPr>
        <w:t>Respondent also testified that the pillows in question can be purchased for $9.95 each. There is probable cause to believe that the pillows in this case were a thing of monetary value and were not explicitly exempted by any provision of the statute.  </w:t>
      </w:r>
    </w:p>
    <w:p w14:paraId="2D13C08F" w14:textId="2C98FE31" w:rsidR="001D4B6F" w:rsidRPr="001D4B6F" w:rsidRDefault="001D4B6F" w:rsidP="001D4B6F">
      <w:pPr>
        <w:spacing w:before="284" w:after="0" w:line="240" w:lineRule="auto"/>
        <w:ind w:left="1357" w:right="1215" w:firstLine="720"/>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The parties also agree that the pillows were distributed from a parade float promoting Respondent’s gubernatorial campaign, and in packaging containing Respondent’s campaign literature. There is probable cause to believe that the pillows were distributed in order to induce a voter to vote in a particular way at an election.</w:t>
      </w:r>
      <w:r w:rsidRPr="001D4B6F">
        <w:rPr>
          <w:rFonts w:ascii="Arial" w:eastAsia="Times New Roman" w:hAnsi="Arial" w:cs="Arial"/>
          <w:color w:val="000000"/>
          <w:sz w:val="16"/>
          <w:szCs w:val="16"/>
          <w:vertAlign w:val="superscript"/>
        </w:rPr>
        <w:t>22</w:t>
      </w:r>
      <w:r w:rsidRPr="001D4B6F">
        <w:rPr>
          <w:rFonts w:ascii="Arial" w:eastAsia="Times New Roman" w:hAnsi="Arial" w:cs="Arial"/>
          <w:color w:val="000000"/>
          <w:sz w:val="16"/>
          <w:szCs w:val="16"/>
        </w:rPr>
        <w:t> </w:t>
      </w:r>
    </w:p>
    <w:p w14:paraId="69CEFECB" w14:textId="77777777" w:rsidR="001D4B6F" w:rsidRPr="001D4B6F" w:rsidRDefault="001D4B6F" w:rsidP="001D4B6F">
      <w:pPr>
        <w:spacing w:before="287" w:after="0" w:line="240" w:lineRule="auto"/>
        <w:ind w:left="1369"/>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IV. Conclusion </w:t>
      </w:r>
    </w:p>
    <w:p w14:paraId="4511B193" w14:textId="3EBE7B9D" w:rsidR="001D4B6F" w:rsidRPr="001D4B6F" w:rsidRDefault="001D4B6F" w:rsidP="001D4B6F">
      <w:pPr>
        <w:spacing w:before="272" w:after="0" w:line="240" w:lineRule="auto"/>
        <w:ind w:left="1357" w:right="1215" w:firstLine="720"/>
        <w:jc w:val="both"/>
        <w:rPr>
          <w:rFonts w:ascii="Times New Roman" w:eastAsia="Times New Roman" w:hAnsi="Times New Roman" w:cs="Times New Roman"/>
          <w:sz w:val="24"/>
          <w:szCs w:val="24"/>
        </w:rPr>
      </w:pPr>
      <w:r w:rsidRPr="001D4B6F">
        <w:rPr>
          <w:rFonts w:ascii="Arial" w:eastAsia="Times New Roman" w:hAnsi="Arial" w:cs="Arial"/>
          <w:color w:val="000000"/>
          <w:sz w:val="24"/>
          <w:szCs w:val="24"/>
        </w:rPr>
        <w:t xml:space="preserve">There is probable cause to conclude that Respondent violated Minn. Stat. § 211B.13, </w:t>
      </w:r>
      <w:proofErr w:type="spellStart"/>
      <w:r w:rsidRPr="001D4B6F">
        <w:rPr>
          <w:rFonts w:ascii="Arial" w:eastAsia="Times New Roman" w:hAnsi="Arial" w:cs="Arial"/>
          <w:color w:val="000000"/>
          <w:sz w:val="24"/>
          <w:szCs w:val="24"/>
        </w:rPr>
        <w:t>subd</w:t>
      </w:r>
      <w:proofErr w:type="spellEnd"/>
      <w:r w:rsidRPr="001D4B6F">
        <w:rPr>
          <w:rFonts w:ascii="Arial" w:eastAsia="Times New Roman" w:hAnsi="Arial" w:cs="Arial"/>
          <w:color w:val="000000"/>
          <w:sz w:val="24"/>
          <w:szCs w:val="24"/>
        </w:rPr>
        <w:t>. 1 by distributing pillows, with campaign literature in the packaging, at the Delano Fourth of July Parade. This matter will be assigned to a panel of three Administrative Law Judges and proceed to an evidentiary hearing. The details of that assignment and hearing will be ordered separately. </w:t>
      </w:r>
    </w:p>
    <w:p w14:paraId="52D62998" w14:textId="77777777" w:rsidR="001D4B6F" w:rsidRPr="001D4B6F" w:rsidRDefault="001D4B6F" w:rsidP="001D4B6F">
      <w:pPr>
        <w:spacing w:before="282" w:after="0" w:line="240" w:lineRule="auto"/>
        <w:ind w:right="5545"/>
        <w:jc w:val="right"/>
        <w:rPr>
          <w:rFonts w:ascii="Times New Roman" w:eastAsia="Times New Roman" w:hAnsi="Times New Roman" w:cs="Times New Roman"/>
          <w:sz w:val="24"/>
          <w:szCs w:val="24"/>
        </w:rPr>
      </w:pPr>
      <w:r w:rsidRPr="001D4B6F">
        <w:rPr>
          <w:rFonts w:ascii="Arial" w:eastAsia="Times New Roman" w:hAnsi="Arial" w:cs="Arial"/>
          <w:b/>
          <w:bCs/>
          <w:color w:val="000000"/>
          <w:sz w:val="24"/>
          <w:szCs w:val="24"/>
        </w:rPr>
        <w:t>N. B. L. </w:t>
      </w:r>
    </w:p>
    <w:p w14:paraId="7D069A36" w14:textId="77777777" w:rsidR="001D4B6F" w:rsidRPr="001D4B6F" w:rsidRDefault="001D4B6F" w:rsidP="001D4B6F">
      <w:pPr>
        <w:spacing w:after="240" w:line="240" w:lineRule="auto"/>
        <w:rPr>
          <w:rFonts w:ascii="Times New Roman" w:eastAsia="Times New Roman" w:hAnsi="Times New Roman" w:cs="Times New Roman"/>
          <w:sz w:val="24"/>
          <w:szCs w:val="24"/>
        </w:rPr>
      </w:pPr>
      <w:r w:rsidRPr="001D4B6F">
        <w:rPr>
          <w:rFonts w:ascii="Times New Roman" w:eastAsia="Times New Roman" w:hAnsi="Times New Roman" w:cs="Times New Roman"/>
          <w:sz w:val="24"/>
          <w:szCs w:val="24"/>
        </w:rPr>
        <w:br/>
      </w:r>
      <w:r w:rsidRPr="001D4B6F">
        <w:rPr>
          <w:rFonts w:ascii="Times New Roman" w:eastAsia="Times New Roman" w:hAnsi="Times New Roman" w:cs="Times New Roman"/>
          <w:sz w:val="24"/>
          <w:szCs w:val="24"/>
        </w:rPr>
        <w:br/>
      </w:r>
    </w:p>
    <w:p w14:paraId="0156FC56" w14:textId="77777777" w:rsidR="001D4B6F" w:rsidRPr="001D4B6F" w:rsidRDefault="001D4B6F" w:rsidP="001D4B6F">
      <w:pPr>
        <w:spacing w:after="0" w:line="240" w:lineRule="auto"/>
        <w:ind w:left="135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21 </w:t>
      </w:r>
      <w:r w:rsidRPr="001D4B6F">
        <w:rPr>
          <w:rFonts w:ascii="Arial" w:eastAsia="Times New Roman" w:hAnsi="Arial" w:cs="Arial"/>
          <w:color w:val="000000"/>
          <w:sz w:val="20"/>
          <w:szCs w:val="20"/>
        </w:rPr>
        <w:t xml:space="preserve">Minn. Stat. § 211B.13, </w:t>
      </w:r>
      <w:proofErr w:type="spellStart"/>
      <w:r w:rsidRPr="001D4B6F">
        <w:rPr>
          <w:rFonts w:ascii="Arial" w:eastAsia="Times New Roman" w:hAnsi="Arial" w:cs="Arial"/>
          <w:color w:val="000000"/>
          <w:sz w:val="20"/>
          <w:szCs w:val="20"/>
        </w:rPr>
        <w:t>subd</w:t>
      </w:r>
      <w:proofErr w:type="spellEnd"/>
      <w:r w:rsidRPr="001D4B6F">
        <w:rPr>
          <w:rFonts w:ascii="Arial" w:eastAsia="Times New Roman" w:hAnsi="Arial" w:cs="Arial"/>
          <w:color w:val="000000"/>
          <w:sz w:val="20"/>
          <w:szCs w:val="20"/>
        </w:rPr>
        <w:t>. 1. </w:t>
      </w:r>
    </w:p>
    <w:p w14:paraId="011B2652" w14:textId="77777777" w:rsidR="001D4B6F" w:rsidRPr="001D4B6F" w:rsidRDefault="001D4B6F" w:rsidP="001D4B6F">
      <w:pPr>
        <w:spacing w:after="0" w:line="240" w:lineRule="auto"/>
        <w:ind w:left="1357"/>
        <w:rPr>
          <w:rFonts w:ascii="Times New Roman" w:eastAsia="Times New Roman" w:hAnsi="Times New Roman" w:cs="Times New Roman"/>
          <w:sz w:val="24"/>
          <w:szCs w:val="24"/>
        </w:rPr>
      </w:pPr>
      <w:r w:rsidRPr="001D4B6F">
        <w:rPr>
          <w:rFonts w:ascii="Arial" w:eastAsia="Times New Roman" w:hAnsi="Arial" w:cs="Arial"/>
          <w:color w:val="000000"/>
          <w:sz w:val="13"/>
          <w:szCs w:val="13"/>
          <w:vertAlign w:val="superscript"/>
        </w:rPr>
        <w:t xml:space="preserve">22 </w:t>
      </w:r>
      <w:r w:rsidRPr="001D4B6F">
        <w:rPr>
          <w:rFonts w:ascii="Arial" w:eastAsia="Times New Roman" w:hAnsi="Arial" w:cs="Arial"/>
          <w:i/>
          <w:iCs/>
          <w:color w:val="000000"/>
          <w:sz w:val="20"/>
          <w:szCs w:val="20"/>
        </w:rPr>
        <w:t>Id</w:t>
      </w:r>
      <w:r w:rsidRPr="001D4B6F">
        <w:rPr>
          <w:rFonts w:ascii="Arial" w:eastAsia="Times New Roman" w:hAnsi="Arial" w:cs="Arial"/>
          <w:color w:val="000000"/>
          <w:sz w:val="20"/>
          <w:szCs w:val="20"/>
        </w:rPr>
        <w:t xml:space="preserve">. </w:t>
      </w:r>
      <w:r w:rsidRPr="001D4B6F">
        <w:rPr>
          <w:rFonts w:ascii="Arial" w:eastAsia="Times New Roman" w:hAnsi="Arial" w:cs="Arial"/>
          <w:color w:val="000000"/>
          <w:sz w:val="16"/>
          <w:szCs w:val="16"/>
        </w:rPr>
        <w:t xml:space="preserve">[242143/1] </w:t>
      </w:r>
      <w:r w:rsidRPr="001D4B6F">
        <w:rPr>
          <w:rFonts w:ascii="Arial" w:eastAsia="Times New Roman" w:hAnsi="Arial" w:cs="Arial"/>
          <w:color w:val="000000"/>
          <w:sz w:val="20"/>
          <w:szCs w:val="20"/>
        </w:rPr>
        <w:t>4 </w:t>
      </w:r>
    </w:p>
    <w:p w14:paraId="3C47EC73" w14:textId="6D3D4E03" w:rsidR="00AB1301" w:rsidRDefault="00AB1301"/>
    <w:sectPr w:rsidR="00AB13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6F"/>
    <w:rsid w:val="001D4B6F"/>
    <w:rsid w:val="00AB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E44F"/>
  <w15:chartTrackingRefBased/>
  <w15:docId w15:val="{E0208BDB-80EF-438C-A36F-0F5A7ECE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4B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147198">
      <w:bodyDiv w:val="1"/>
      <w:marLeft w:val="0"/>
      <w:marRight w:val="0"/>
      <w:marTop w:val="0"/>
      <w:marBottom w:val="0"/>
      <w:divBdr>
        <w:top w:val="none" w:sz="0" w:space="0" w:color="auto"/>
        <w:left w:val="none" w:sz="0" w:space="0" w:color="auto"/>
        <w:bottom w:val="none" w:sz="0" w:space="0" w:color="auto"/>
        <w:right w:val="none" w:sz="0" w:space="0" w:color="auto"/>
      </w:divBdr>
    </w:div>
    <w:div w:id="15184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1310</Words>
  <Characters>7471</Characters>
  <Application>Microsoft Office Word</Application>
  <DocSecurity>0</DocSecurity>
  <Lines>62</Lines>
  <Paragraphs>17</Paragraphs>
  <ScaleCrop>false</ScaleCrop>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T</dc:creator>
  <cp:keywords/>
  <dc:description/>
  <cp:lastModifiedBy>S T</cp:lastModifiedBy>
  <cp:revision>1</cp:revision>
  <dcterms:created xsi:type="dcterms:W3CDTF">2026-08-06T19:29:00Z</dcterms:created>
  <dcterms:modified xsi:type="dcterms:W3CDTF">2026-08-06T19:37:00Z</dcterms:modified>
</cp:coreProperties>
</file>